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軟正黑體" w:hAnsi="微軟正黑體"/>
          <w:b/>
          <w:i w:val="0"/>
          <w:color w:val="1B365D"/>
          <w:sz w:val="32"/>
          <w:rFonts w:ascii="微軟正黑體" w:hAnsi="微軟正黑體" w:eastAsia="微軟正黑體"/>
        </w:rPr>
        <w:t>健保雲端資料摘要 — 跨院出院病歷摘要 (Format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病人姓名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[病人姓名]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病歷號／身分證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[病歷號 / 身分證號碼]</w:t>
            </w:r>
          </w:p>
        </w:tc>
      </w:tr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性別／年齡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[性別 / 年齡 / 出生日期]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住院區間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[住院日期 ～ 出院日期（共 N 天）]</w:t>
            </w:r>
          </w:p>
        </w:tc>
      </w:tr>
      <w:tr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住院機構／科別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[醫院名稱 / 科別 / 床號]</w:t>
            </w:r>
          </w:p>
        </w:tc>
        <w:tc>
          <w:tcPr>
            <w:tcW w:type="dxa" w:w="1701"/>
            <w:shd w:val="clear" w:color="auto" w:fill="E8EEF5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/>
                <w:i w:val="0"/>
                <w:color w:val="1B365D"/>
                <w:sz w:val="19"/>
                <w:rFonts w:ascii="微軟正黑體" w:hAnsi="微軟正黑體" w:eastAsia="微軟正黑體"/>
              </w:rPr>
              <w:t>主治醫師</w:t>
            </w:r>
          </w:p>
        </w:tc>
        <w:tc>
          <w:tcPr>
            <w:tcW w:type="dxa" w:w="379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微軟正黑體" w:hAnsi="微軟正黑體"/>
                <w:b w:val="0"/>
                <w:i w:val="0"/>
                <w:color w:val="646464"/>
                <w:sz w:val="19"/>
                <w:rFonts w:ascii="微軟正黑體" w:hAnsi="微軟正黑體" w:eastAsia="微軟正黑體"/>
              </w:rPr>
              <w:t>[主治醫師姓名 / 醫事代碼]</w:t>
            </w:r>
          </w:p>
        </w:tc>
      </w:tr>
    </w:tbl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一、重大住院與出院核心綱要 (Executive Hospital Summary)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過敏與不良反應史：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［過敏史、藥物疹或住院期間藥物不良事件］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重大器官功能演變與恢復：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［橫紋肌溶解、呼吸衰竭、急性腎衰竭透析起訖、腦中風、重大感染受控狀況］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關鍵手術與侵入性介入處置：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［心導管、瓣膜成型術 PTMC、氣切、支架置放、血液濾過/透析、內視鏡處置］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出院帶藥核心方向：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［抗血小板/抗凝血、心血管、利尿劑、內分泌激素、抗生素及精神支持用藥］</w:t>
      </w:r>
    </w:p>
    <w:p>
      <w:pPr>
        <w:spacing w:before="20" w:after="60" w:line="276" w:lineRule="auto"/>
      </w:pPr>
      <w:r>
        <w:rPr>
          <w:rFonts w:ascii="微軟正黑體" w:hAnsi="微軟正黑體"/>
          <w:b/>
          <w:i w:val="0"/>
          <w:color w:val="1B365D"/>
          <w:sz w:val="20"/>
          <w:rFonts w:ascii="微軟正黑體" w:hAnsi="微軟正黑體" w:eastAsia="微軟正黑體"/>
        </w:rPr>
        <w:t xml:space="preserve">■ </w:t>
      </w:r>
      <w:r>
        <w:rPr>
          <w:rFonts w:ascii="微軟正黑體" w:hAnsi="微軟正黑體"/>
          <w:b/>
          <w:i w:val="0"/>
          <w:color w:val="2B547E"/>
          <w:sz w:val="20"/>
          <w:rFonts w:ascii="微軟正黑體" w:hAnsi="微軟正黑體" w:eastAsia="微軟正黑體"/>
        </w:rPr>
        <w:t>出院照護與整合追蹤要點：</w:t>
      </w:r>
      <w:r>
        <w:rPr>
          <w:rFonts w:ascii="微軟正黑體" w:hAnsi="微軟正黑體"/>
          <w:b w:val="0"/>
          <w:i w:val="0"/>
          <w:color w:val="1E1E1E"/>
          <w:sz w:val="20"/>
          <w:rFonts w:ascii="微軟正黑體" w:hAnsi="微軟正黑體" w:eastAsia="微軟正黑體"/>
        </w:rPr>
        <w:t>［呼吸道氣切照護、抽痰、管灌飲食、復健、回診專科清單與警訊處置］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二、臨床診斷與入院病史 (Diagnoses &amp; Presentation)</w:t>
      </w:r>
    </w:p>
    <w:p>
      <w:pPr>
        <w:keepNext/>
        <w:spacing w:before="200" w:after="80"/>
      </w:pPr>
      <w:r>
        <w:rPr>
          <w:rFonts w:ascii="微軟正黑體" w:hAnsi="微軟正黑體"/>
          <w:b/>
          <w:i w:val="0"/>
          <w:color w:val="2B547E"/>
          <w:sz w:val="23"/>
          <w:rFonts w:ascii="微軟正黑體" w:hAnsi="微軟正黑體" w:eastAsia="微軟正黑體"/>
        </w:rPr>
        <w:t>【出院診斷 (Discharge Diagnoses)】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［條列主要診斷、次要診斷、併發症、既往慢性共病及重大傷病登載］</w:t>
      </w:r>
    </w:p>
    <w:p>
      <w:pPr>
        <w:keepNext/>
        <w:spacing w:before="200" w:after="80"/>
      </w:pPr>
      <w:r>
        <w:rPr>
          <w:rFonts w:ascii="微軟正黑體" w:hAnsi="微軟正黑體"/>
          <w:b/>
          <w:i w:val="0"/>
          <w:color w:val="2B547E"/>
          <w:sz w:val="23"/>
          <w:rFonts w:ascii="微軟正黑體" w:hAnsi="微軟正黑體" w:eastAsia="微軟正黑體"/>
        </w:rPr>
        <w:t>【主訴與現病史 (Chief Complaint &amp; Present Illness)】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［入院主訴、發病經過、轉診來源、入院體檢生命徵象與急診初始處置］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三、住院治療經過時間軸 (Chronological Hospital Course)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［依病程劃分階段：急診/加護病房初期 -&gt; 呼吸照護中心 RCC -&gt; 手術/介入處置 -&gt; 加護病房後期 -&gt; 普通病房 -&gt; 出院］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四、檢驗數據與微生物報告 (Laboratories &amp; Microbiology)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［出院前後關鍵血球計數、腎功能 Cr/eGFR/BUN、電解質、發炎指數 CRP、血液/痰液/尿液培養菌種與藥敏］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五、影像與特殊檢查總結 (Imaging &amp; Diagnostic Procedures)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［電腦斷層 CT、心臟超音波 Echo/TEE、X-ray、大腸鏡、心導管報告摘要］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六、出院帶藥明細表 (Discharge Medications Table)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［表格包含：項次、藥品名與規格、劑量、用法頻率、給藥途徑、天數/總量、臨床適應症說明］</w:t>
      </w:r>
    </w:p>
    <w:p>
      <w:pPr>
        <w:keepNext/>
        <w:spacing w:before="280" w:after="120"/>
      </w:pPr>
      <w:r>
        <w:rPr>
          <w:rFonts w:ascii="微軟正黑體" w:hAnsi="微軟正黑體"/>
          <w:b/>
          <w:i w:val="0"/>
          <w:color w:val="1B365D"/>
          <w:sz w:val="27"/>
          <w:rFonts w:ascii="微軟正黑體" w:hAnsi="微軟正黑體" w:eastAsia="微軟正黑體"/>
        </w:rPr>
        <w:t>七、出院指示與跨專科追蹤照護計畫 (Discharge Care Plan)</w:t>
      </w:r>
    </w:p>
    <w:p>
      <w:r>
        <w:rPr>
          <w:rFonts w:ascii="微軟正黑體" w:hAnsi="微軟正黑體"/>
          <w:b w:val="0"/>
          <w:i/>
          <w:color w:val="646464"/>
          <w:sz w:val="20"/>
          <w:rFonts w:ascii="微軟正黑體" w:hAnsi="微軟正黑體" w:eastAsia="微軟正黑體"/>
        </w:rPr>
        <w:t>［條列各科門診預約時間、管路照護（氣切/胃管/導尿管）、居家照護衛教、復健計畫］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850" w:right="720" w:bottom="850" w:left="7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8"/>
      </w:rPr>
      <w:t xml:space="preserve">資料來源：健保醫療資訊雲端查詢系統（NHI MediCloud）· 僅供本院診療使用，請勿外流 · 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66666"/>
        <w:sz w:val="18"/>
      </w:rPr>
      <w:t>病人：__________  病歷號：__________  查詢日期：____年__月__日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健保雲端資料摘要範本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