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Tirzepatide 與 semaglutide 的臨床證據解讀</w:t>
      </w:r>
    </w:p>
    <w:p>
      <w:r>
        <w:t>給醫療專業人員的糖尿病 肥胖 心衰竭與腎臟風險閱讀指南</w:t>
      </w:r>
    </w:p>
    <w:p>
      <w:r>
        <w:t>結論：先對齊研究問題，再比較藥物。 Tirzepatide 與 semaglutide 的比較，必須同時交代分子、品牌、劑型、劑量、族群、比較組、終點與法規地區。體重下降較多，不能直接推成心血管死亡較少；同一類藥物的機制，也不能代替另一分子的腎臟結果試驗。</w:t>
      </w:r>
    </w:p>
    <w:p>
      <w:r>
        <w:t>資料整理：2026-10-31。作者：[TO CONFIRM]；機構：[TO CONFIRM]；利益衝突聲明：[TO CONFIRM]。本文供醫療專業教育；台灣現行完整仿單、給付與器型操作須另行核實，不作個別病人處方。</w:t>
      </w:r>
    </w:p>
    <w:p>
      <w:pPr>
        <w:pStyle w:val="Heading1"/>
      </w:pPr>
      <w:r>
        <w:t>從分子出發 先釐清比較的單位</w:t>
      </w:r>
    </w:p>
    <w:p>
      <w:r>
        <w:t>Tirzepatide 是單一分子的葡萄糖依賴性胰島素刺激多胜肽（glucose-dependent insulinotropic polypeptide, GIP）與類升糖素胜肽一（glucagon-like peptide-1, GLP-1）雙受體促效劑。Semaglutide 則是 GLP-1 受體促效劑。這項分類有助理解藥理，但「雙受體」不等於療效兩倍，更不能推出所有器官都能獲益。[C001；S07 §12.1；S02 Introduction]</w:t>
      </w:r>
    </w:p>
    <w:p>
      <w:r>
        <w:t>Mounjaro 與 Zepbound 的品牌標示須分開；品牌與分子亦不能互換。美國仿單的適應症與劑量只適用其標示條件，不能直接成為台灣的適應症或給付依據。台灣 TFDA 公告已支持猛健樂注射筆有血糖控制及肥胖／過重體重控制用途的概括敘述，但完整年齡、BMI、器型與其他細節仍須查當前核准仿單。[C002–C003；S07/S08 §1；S09 第一點；P001]</w:t>
      </w:r>
    </w:p>
    <w:p>
      <w:r>
        <w:t>讀一個結果時，可以先問：「這是誰、用了什麼、跟誰比、追蹤多久、量到什麼？」答案不完整，就先不要把數字放入臨床排序。下表將四種常被混用的脈絡放回各自研究問題。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E7ECEF"/>
          </w:tcPr>
          <w:p>
            <w:pPr>
              <w:spacing w:after="120" w:before="100"/>
            </w:pPr>
            <w:r>
              <w:rPr>
                <w:b/>
                <w:sz w:val="18"/>
              </w:rPr>
              <w:t>臨床脈絡</w:t>
            </w:r>
          </w:p>
        </w:tc>
        <w:tc>
          <w:tcPr>
            <w:tcW w:type="dxa" w:w="2484"/>
            <w:shd w:fill="E7ECEF"/>
          </w:tcPr>
          <w:p>
            <w:pPr>
              <w:spacing w:after="120" w:before="100"/>
            </w:pPr>
            <w:r>
              <w:rPr>
                <w:b/>
                <w:sz w:val="18"/>
              </w:rPr>
              <w:t>對齊的研究與介入</w:t>
            </w:r>
          </w:p>
        </w:tc>
        <w:tc>
          <w:tcPr>
            <w:tcW w:type="dxa" w:w="2484"/>
            <w:shd w:fill="E7ECEF"/>
          </w:tcPr>
          <w:p>
            <w:pPr>
              <w:spacing w:after="120" w:before="100"/>
            </w:pPr>
            <w:r>
              <w:rPr>
                <w:b/>
                <w:sz w:val="18"/>
              </w:rPr>
              <w:t>可以帶走的訊息</w:t>
            </w:r>
          </w:p>
        </w:tc>
        <w:tc>
          <w:tcPr>
            <w:tcW w:type="dxa" w:w="2484"/>
            <w:shd w:fill="E7ECEF"/>
          </w:tcPr>
          <w:p>
            <w:pPr>
              <w:spacing w:after="120" w:before="100"/>
            </w:pPr>
            <w:r>
              <w:rPr>
                <w:b/>
                <w:sz w:val="18"/>
              </w:rPr>
              <w:t>解讀邊界</w:t>
            </w:r>
          </w:p>
        </w:tc>
      </w:tr>
      <w:tr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糖尿病控糖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SURPASS-2；T2D；tirzepatide 5/10/15 mg 對 semaglutide 1 mg；40 週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HbA1c 與體重的直接比較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不代表 semaglutide 所有劑量，也不是心腎事件比較</w:t>
            </w:r>
          </w:p>
        </w:tc>
      </w:tr>
      <w:tr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肥胖體重管理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SURMOUNT-5；無 T2D；最大耐受 tirzepatide 10/15 mg 對 semaglutide 1.7/2.4 mg；72 週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該族群的平均體重變化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不保證糖尿病或 HFpEF 個案有相同幅度</w:t>
            </w:r>
          </w:p>
        </w:tc>
      </w:tr>
      <w:tr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肥胖相關 HFpEF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SUMMIT 與 STEP-HFpEF DM；各自對 placebo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分別閱讀事件複合終點與症狀功能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不同族群、LVEF 門檻與終點，不能跨試驗排名</w:t>
            </w:r>
          </w:p>
        </w:tc>
      </w:tr>
      <w:tr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糖尿病合併 CKD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FLOW；semaglutide 1 mg 對 placebo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特定 T2D 與 CKD 族群的主要複合終點</w:t>
            </w:r>
          </w:p>
        </w:tc>
        <w:tc>
          <w:tcPr>
            <w:tcW w:type="dxa" w:w="2484"/>
          </w:tcPr>
          <w:p>
            <w:pPr>
              <w:spacing w:after="120" w:before="100"/>
            </w:pPr>
            <w:r>
              <w:rPr>
                <w:b w:val="0"/>
                <w:sz w:val="18"/>
              </w:rPr>
              <w:t>不能移植成 tirzepatide 的確認性腎保護證據</w:t>
            </w:r>
          </w:p>
        </w:tc>
      </w:tr>
    </w:tbl>
    <w:p>
      <w:pPr>
        <w:pStyle w:val="Heading1"/>
      </w:pPr>
      <w:r>
        <w:t>控糖與減重 直接比較也有劑量及族群邊界</w:t>
      </w:r>
    </w:p>
    <w:p>
      <w:r>
        <w:t>SURPASS-2 納入使用 metformin 後仍控制不足的成人第二型糖尿病（type 2 diabetes, T2D）患者，隨機分派 N=1,879；其中 1,878 人至少接受一劑。40 週時，tirzepatide 5、10、15 mg 的 HbA1c 變化分別為 −2.01、−2.24、−2.30 個百分點，semaglutide 1 mg 為 −1.86 個百分點。這些是 HbA1c 的「百分點」變化，不是相對百分比。研究為 open-label；其結論限定於這組劑量與族群。[C004；S01 Abstract Methods/Results，正文 pp.503–505]</w:t>
      </w:r>
    </w:p>
    <w:p>
      <w:r>
        <w:t>SURMOUNT-5 回答另一個問題：沒有 T2D 的肥胖或過重成人，兩種最大耐受劑量方案的體重變化如何？研究隨機 N=751，用藥分析 N=750。72 週時，tirzepatide 10/15 mg 組平均變化 −20.2%（95% CI −21.4 至 −19.1），semaglutide 1.7/2.4 mg 組 −13.7%（−14.9 至 −12.6）。這是 open-label phase 3b、modified treatment-regimen estimand 的群體結果，研究由 Lilly 資助；沒有直接測試兩藥心腎事件的優劣。[C005；S02 Abstract、Table 2/Figure 1，pp.30–31]</w:t>
      </w:r>
    </w:p>
    <w:p>
      <w:r>
        <w:t>因此，介紹減重差異時應保留「無 T2D」「72 週」「最大耐受方案」這些限定。若把同一數字用於一位有糖尿病、腎病或心衰竭的人，已經跨出研究直接支持的範圍。個別治療目標與耐受性仍須由醫療團隊評估。</w:t>
      </w:r>
    </w:p>
    <w:p>
      <w:pPr>
        <w:pStyle w:val="Heading1"/>
      </w:pPr>
      <w:r>
        <w:t>肥胖相關心衰竭 事件與症狀分開閱讀</w:t>
      </w:r>
    </w:p>
    <w:p>
      <w:r>
        <w:t>SUMMIT 納入肥胖且有保留射出分率心衰竭（heart failure with preserved ejection fraction, HFpEF）的人，BMI ≥30、LVEF ≥50%，包括有與沒有 T2D 者；隨機 N=731（364/367）。中位追蹤 104 週，心血管死亡或心衰竭惡化複合終點為 36/364（9.9%）對 56/367（15.3%），HR 0.62（95% CI 0.41–0.95）。此研究由 Lilly 資助。[C006；S03 Abstract、Table 2，p.427]</w:t>
      </w:r>
    </w:p>
    <w:p>
      <w:r>
        <w:t>複合終點降低不等於單獨證實心血管死亡降低。SUMMIT 的心血管死亡為 8 對 5 例，HR 1.58，95% CI 0.52–4.83，區間很寬；不能用複合終點標題遮掉這個差別。52 週的 Kansas City Cardiomyopathy Questionnaire（KCCQ）結果又是另一個共同主要終點，亦應分開陳述。[C006；S03 Table 2]</w:t>
      </w:r>
    </w:p>
    <w:p>
      <w:r>
        <w:t>STEP-HFpEF DM 則納入 T2D、BMI ≥30、LVEF ≥45% 且有症狀的 HF 患者，隨機 N=616。Semaglutide 2.4 mg 與 placebo 比較 52 週，KCCQ 差 7.3 分（95% CI 4.1–10.4），體重變化 −9.8% 對 −3.4%，組間差 −6.4 個百分點。這是症狀、功能與體重的證據，使用 treatment-policy estimand，Novo Nordisk 資助；不能據此單一試驗宣稱心血管死亡降低。[C007；S04 Abstract、Table 2]</w:t>
      </w:r>
    </w:p>
    <w:p>
      <w:r>
        <w:t>臨床上關心同一器官，並不表示研究問的是同一問題。把 SUMMIT 與 STEP-HFpEF DM 的百分比並排當藥物排行榜，會同時忽略糖尿病狀態、射出分率門檻、追蹤與終點差異。</w:t>
      </w:r>
    </w:p>
    <w:p>
      <w:pPr>
        <w:pStyle w:val="Heading1"/>
      </w:pPr>
      <w:r>
        <w:t>腎臟與心血管 先辨識確認性與探索性結果</w:t>
      </w:r>
    </w:p>
    <w:p>
      <w:r>
        <w:t>FLOW 是 semaglutide 的腎臟 outcome 試驗。隨機 N=3,533（1,767/1,766），介入為 semaglutide 1 mg 對 placebo，中位追蹤 3.4 年。主要複合終點為 331 對 410 件，HR 0.76（95% CI 0.66–0.88）。研究納入特定 T2D 合併慢性腎臟病（chronic kidney disease, CKD）族群：eGFR 50–75 且 UACR &gt;300 至 &lt;5,000，或 eGFR 25 至 &lt;50 且 UACR &gt;100 至 &lt;5,000。主要複合終點包含心血管死亡；試驗依中期分析建議提早停止，由 Novo Nordisk 資助。[C008；S05 Abstract Methods/Results]</w:t>
      </w:r>
    </w:p>
    <w:p>
      <w:r>
        <w:t>這項證據不能直接外推至所有 CKD 或透析患者，也不能改寫成 tirzepatide 的 class effect。描述腎臟結果時，分子名稱與終點組成都應跟數字一起出現。</w:t>
      </w:r>
    </w:p>
    <w:p>
      <w:r>
        <w:t>SURPASS-CVOT 已正式發表。它在 T2D 合併已確立動脈粥樣硬化性心血管疾病（atherosclerotic cardiovascular disease, ASCVD）族群，比較 tirzepatide 與 dulaglutide 1.5 mg；隨機 N=13,299，排除 134 人後 mITT N=13,165。主要心血管事件（major adverse cardiovascular events, MACE）為 801（12.2%）對 862（13.1%），HR 0.92，95.3% CI 0.83–1.01；非劣性 P=.003，優越性 P=.09。研究由 Lilly 資助。正確表述是非劣性成立，優越性未達顯著，不是勝過 dulaglutide，也不是勝過 semaglutide。[C009；S06 Abstract]</w:t>
      </w:r>
    </w:p>
    <w:p>
      <w:r>
        <w:t>2026 年 SURPASS-CVOT 腎臟分析屬預定探索性分析，並非另一個獨立隨機試驗。其腎複合終點含新發持續 macroalbuminuria，不能與 FLOW 的終點直接等同。本教材將它保留為探索性更新；全文、SAP 與 multiplicity 的深入核讀仍待完成。[C010；S12 Abstract；P002]</w:t>
      </w:r>
    </w:p>
    <w:p>
      <w:pPr>
        <w:pStyle w:val="Heading1"/>
      </w:pPr>
      <w:r>
        <w:t>安全溝通 讓證據能轉成正確的下一步</w:t>
      </w:r>
    </w:p>
    <w:p>
      <w:r>
        <w:t>美國 Mounjaro 仿單列有甲狀腺髓質癌（medullary thyroid carcinoma, MTC）個人／家族史、第二型多發性內分泌腫瘤症候群（MEN2）與嚴重過敏等禁忌。齧齒動物 C-cell 腫瘤訊號不能寫成人類已證實致癌。台灣使用仍須核對本地仿單。[C012；S07 §4/5.1]</w:t>
      </w:r>
    </w:p>
    <w:p>
      <w:r>
        <w:t>噁心、嘔吐或腹瀉如果造成體液流失，可能導致急性腎損傷（acute kidney injury, AKI）；持續嘔吐、腹瀉或攝水不足者須評估體液與腎功能。嚴重 gastroparesis 不建議使用的敘述來自美國標示。合併 insulin 或 sulfonylurea 等 secretagogue 會增加低血糖風險，併藥調整由醫療團隊處理，不提供通用減量百分比。[C013–C014；S07 §5.3/5.5–5.6]</w:t>
      </w:r>
    </w:p>
    <w:p>
      <w:r>
        <w:t>美國標示提醒，口服荷爾蒙避孕藥使用者在開始 tirzepatide 及每次升量後 4 週，須改非口服方法或加屏障法；不能外推成所有避孕方式均失效。預定麻醉或深鎮靜者應預先告知團隊；仿單沒有足以支持一律停藥特定天數的資料。妊娠規劃與台灣麻醉流程仍須依當地正式規範核實。[C015–C016；S07 §7.2/8.3/5.9；P003]</w:t>
      </w:r>
    </w:p>
    <w:p>
      <w:r>
        <w:t>持續嚴重腹痛或呼吸困難、顏面腫脹等疑似胰臟炎／嚴重過敏警訊，應停止用藥並立即求醫。急性膽囊問題與視網膜病變也需納入醫療評估。上述警訊不應因擔心停藥後體重回升而被延誤。[C017；S07 §5.2/5.4]</w:t>
      </w:r>
    </w:p>
    <w:p>
      <w:r>
        <w:t>本教材不提供拆筆格數、抽殘藥、跳級、同週拼筆或採購省錢方案。固定劑量器型的算術換算不代表核准操作；實際器型須對應本地核准的使用說明。劑量、保存與漏打等問題，應回到對應品牌、器型與當地版本。[C018/C021；S07 §2.2/3/5.10；P001]</w:t>
      </w:r>
    </w:p>
    <w:p>
      <w:pPr>
        <w:pStyle w:val="Heading1"/>
      </w:pPr>
      <w:r>
        <w:t>把結果帶回病人 先問治療要解決什麼</w:t>
      </w:r>
    </w:p>
    <w:p>
      <w:r>
        <w:t>面對同時有糖尿病、肥胖、HFpEF 與 CKD 的人，先明確寫出治療目標：是 HbA1c、體重、心衰竭症狀，還是某個臨床事件？接著用相符族群與介入的研究回答。若需要的答案只有探索性分析或機制推論，應將不確定性保留在溝通中，而不是把不同試驗接成一個全面優勢的故事。[C004–C010/C020]</w:t>
      </w:r>
    </w:p>
    <w:p>
      <w:r>
        <w:t>療效以外，還要核對禁忌、GI 耐受性、體液狀態、低血糖併藥、生育與程序安排，最後確認台灣適應症、器型與給付。這些步驟與長期追蹤一起構成用藥討論；沒有一個減重百分比能獨自完成選藥。</w:t>
      </w:r>
    </w:p>
    <w:p>
      <w:pPr>
        <w:pStyle w:val="Heading1"/>
      </w:pPr>
      <w:r>
        <w:t>來源與證據定位</w:t>
      </w:r>
    </w:p>
    <w:p>
      <w:r>
        <w:rPr>
          <w:sz w:val="18"/>
        </w:rPr>
        <w:t>S01 SURPASS-2，DOI 10.1056/NEJMoa2107519。Abstract Methods/Results；正文 pp.503–505。https://pubmed.ncbi.nlm.nih.gov/34170647/</w:t>
      </w:r>
    </w:p>
    <w:p>
      <w:r>
        <w:rPr>
          <w:sz w:val="18"/>
        </w:rPr>
        <w:t>S02 SURMOUNT-5，DOI 10.1056/NEJMoa2416394。Abstract；Table 2/Figure 1，pp.30–31。https://pubmed.ncbi.nlm.nih.gov/40353578/</w:t>
      </w:r>
    </w:p>
    <w:p>
      <w:r>
        <w:rPr>
          <w:sz w:val="18"/>
        </w:rPr>
        <w:t>S03 SUMMIT，DOI 10.1056/NEJMoa2410027。Abstract、Table 2，p.427。https://pubmed.ncbi.nlm.nih.gov/39555826/</w:t>
      </w:r>
    </w:p>
    <w:p>
      <w:r>
        <w:rPr>
          <w:sz w:val="18"/>
        </w:rPr>
        <w:t>S04 STEP-HFpEF DM，DOI 10.1056/NEJMoa2313917。Abstract、Table 2。https://pubmed.ncbi.nlm.nih.gov/38587233/</w:t>
      </w:r>
    </w:p>
    <w:p>
      <w:r>
        <w:rPr>
          <w:sz w:val="18"/>
        </w:rPr>
        <w:t>S05 FLOW，DOI 10.1056/NEJMoa2403347。Abstract Methods/Results。https://pubmed.ncbi.nlm.nih.gov/38785209/</w:t>
      </w:r>
    </w:p>
    <w:p>
      <w:r>
        <w:rPr>
          <w:sz w:val="18"/>
        </w:rPr>
        <w:t>S06 SURPASS-CVOT，DOI 10.1056/NEJMoa2505928。Abstract Methods/Results。https://pubmed.ncbi.nlm.nih.gov/41406444/</w:t>
      </w:r>
    </w:p>
    <w:p>
      <w:r>
        <w:rPr>
          <w:sz w:val="18"/>
        </w:rPr>
        <w:t>S07 Mounjaro 美國仿單，08/2026 版。引用段落見各節。https://pi.lilly.com/us/mounjaro-uspi.pdf</w:t>
      </w:r>
    </w:p>
    <w:p>
      <w:r>
        <w:rPr>
          <w:sz w:val="18"/>
        </w:rPr>
        <w:t>S08 Zepbound 美國仿單，§1。https://pi.lilly.com/us/zepbound-uspi.pdf</w:t>
      </w:r>
    </w:p>
    <w:p>
      <w:r>
        <w:rPr>
          <w:sz w:val="18"/>
        </w:rPr>
        <w:t>S09 TFDA 公告，2025-11-10，第一點 tirzepatide 成分注射筆。https://www.fda.gov.tw/TC/newsContent.aspx?cid=4&amp;id=t623895</w:t>
      </w:r>
    </w:p>
    <w:p>
      <w:r>
        <w:rPr>
          <w:sz w:val="18"/>
        </w:rPr>
        <w:t>S12 SURPASS-CVOT 腎臟探索性分析，僅完成 abstract 層級核對，全文/SAP 待查。https://pubmed.ncbi.nlm.nih.gov/42114520/</w:t>
      </w:r>
    </w:p>
    <w:p>
      <w:r>
        <w:t>Claim IDs C001–C021 與待辦 P001–P003 對應專案 claim ledger。本文未將未核實的台灣完整仿單、給付、妊娠停藥間隔或麻醉固定停藥天數補寫成結論。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Tirzepatide 與 semaglutide 的臨床證據解讀</dc:title>
  <dc:subject/>
  <dc:creator>[TO CONFIRM]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