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48" w:lineRule="auto"/>
      </w:pPr>
      <w:r>
        <w:rPr>
          <w:rFonts w:ascii="Calibri" w:hAnsi="Calibri" w:eastAsia="Microsoft JhengHei"/>
          <w:b/>
          <w:i w:val="0"/>
          <w:color w:val="1C5CAB"/>
          <w:sz w:val="19"/>
        </w:rPr>
        <w:t>資料分析報告</w:t>
      </w:r>
    </w:p>
    <w:p>
      <w:pPr>
        <w:spacing w:before="0" w:after="40"/>
      </w:pPr>
      <w:r>
        <w:rPr>
          <w:rFonts w:ascii="Calibri" w:hAnsi="Calibri" w:eastAsia="Microsoft JhengHei"/>
          <w:b/>
          <w:i w:val="0"/>
          <w:color w:val="1A1A1A"/>
          <w:sz w:val="44"/>
        </w:rPr>
        <w:t>桃園市醫療資源分佈分析</w:t>
      </w:r>
    </w:p>
    <w:p>
      <w:pPr>
        <w:spacing w:before="0" w:after="200" w:line="348" w:lineRule="auto"/>
        <w:pBdr>
          <w:bottom w:val="single" w:sz="6" w:space="3" w:color="C9D2DC"/>
        </w:pBdr>
      </w:pPr>
      <w:r>
        <w:rPr>
          <w:rFonts w:ascii="Calibri" w:hAnsi="Calibri" w:eastAsia="Microsoft JhengHei"/>
          <w:b w:val="0"/>
          <w:i w:val="0"/>
          <w:color w:val="5A5F66"/>
          <w:sz w:val="26"/>
        </w:rPr>
        <w:t>醫師人力、行政區分佈與診所密度</w:t>
      </w:r>
    </w:p>
    <w:p>
      <w:pPr>
        <w:spacing w:before="0" w:after="40" w:line="348" w:lineRule="auto"/>
      </w:pPr>
      <w:r>
        <w:rPr>
          <w:rFonts w:ascii="Calibri" w:hAnsi="Calibri" w:eastAsia="Microsoft JhengHei"/>
          <w:b/>
          <w:i w:val="0"/>
          <w:color w:val="5A5F66"/>
          <w:sz w:val="20"/>
        </w:rPr>
        <w:t xml:space="preserve">資料期別　</w:t>
      </w:r>
      <w:r>
        <w:rPr>
          <w:rFonts w:ascii="Calibri" w:hAnsi="Calibri" w:eastAsia="Microsoft JhengHei"/>
          <w:b w:val="0"/>
          <w:i w:val="0"/>
          <w:color w:val="1A1A1A"/>
          <w:sz w:val="20"/>
        </w:rPr>
        <w:t>民國 113 年（醫師人力、人口）／ 2026-07-29（健保特約院所名冊）</w:t>
      </w:r>
    </w:p>
    <w:p>
      <w:pPr>
        <w:spacing w:before="0" w:after="40" w:line="348" w:lineRule="auto"/>
      </w:pPr>
      <w:r>
        <w:rPr>
          <w:rFonts w:ascii="Calibri" w:hAnsi="Calibri" w:eastAsia="Microsoft JhengHei"/>
          <w:b/>
          <w:i w:val="0"/>
          <w:color w:val="5A5F66"/>
          <w:sz w:val="20"/>
        </w:rPr>
        <w:t xml:space="preserve">資料來源　</w:t>
      </w:r>
      <w:r>
        <w:rPr>
          <w:rFonts w:ascii="Calibri" w:hAnsi="Calibri" w:eastAsia="Microsoft JhengHei"/>
          <w:b w:val="0"/>
          <w:i w:val="0"/>
          <w:color w:val="1A1A1A"/>
          <w:sz w:val="20"/>
        </w:rPr>
        <w:t>政府資料開放平臺（data.gov.tw）— 桃園市政府主計處、衛生福利部中央健康保險署、桃園市政府警察局</w:t>
      </w:r>
    </w:p>
    <w:p>
      <w:pPr>
        <w:spacing w:before="0" w:after="320" w:line="348" w:lineRule="auto"/>
      </w:pPr>
      <w:r>
        <w:rPr>
          <w:rFonts w:ascii="Calibri" w:hAnsi="Calibri" w:eastAsia="Microsoft JhengHei"/>
          <w:b/>
          <w:i w:val="0"/>
          <w:color w:val="5A5F66"/>
          <w:sz w:val="20"/>
        </w:rPr>
        <w:t xml:space="preserve">產製日期　</w:t>
      </w:r>
      <w:r>
        <w:rPr>
          <w:rFonts w:ascii="Calibri" w:hAnsi="Calibri" w:eastAsia="Microsoft JhengHei"/>
          <w:b w:val="0"/>
          <w:i w:val="0"/>
          <w:color w:val="1A1A1A"/>
          <w:sz w:val="20"/>
        </w:rPr>
        <w:t>2026 年 8 月 18 日</w:t>
      </w:r>
    </w:p>
    <w:p>
      <w:pPr>
        <w:keepNext/>
        <w:spacing w:before="400" w:after="160"/>
        <w:pBdr>
          <w:bottom w:val="single" w:sz="6" w:space="3" w:color="1C5CAB"/>
        </w:pBdr>
      </w:pPr>
      <w:r>
        <w:rPr>
          <w:rFonts w:ascii="Calibri" w:hAnsi="Calibri" w:eastAsia="Microsoft JhengHei"/>
          <w:b/>
          <w:i w:val="0"/>
          <w:color w:val="1C5CAB"/>
          <w:sz w:val="30"/>
        </w:rPr>
        <w:t>摘要</w:t>
      </w:r>
    </w:p>
    <w:p>
      <w:pPr>
        <w:spacing w:before="0" w:after="160" w:line="348" w:lineRule="auto"/>
      </w:pPr>
      <w:r>
        <w:rPr>
          <w:rFonts w:ascii="Calibri" w:hAnsi="Calibri" w:eastAsia="Microsoft JhengHei"/>
          <w:b w:val="0"/>
          <w:i w:val="0"/>
          <w:color w:val="1A1A1A"/>
          <w:sz w:val="22"/>
        </w:rPr>
        <w:t>桃園市 113 年底執業醫師合計 6,791 人（西醫師 4,640、牙醫師 1,499、中醫師 652），每萬人 29.0 人；全市健保特約診所 1,712 家、醫院 35 家，每萬人診所數 7.32 家。醫療資源在 13 個行政區之間高度不均：診所密度最高的桃園區（每萬人 11.10 家）是最低的平鎮區（3.84 家）的 2.9 倍；若以面積計，桃園區與大溪＋復興地區相差約 150 倍。八德、蘆竹兩區合計 38 萬人口卻無任何一家醫院；復興區僅有 5 家診所，且無牙醫、中醫、兒科與婦產科。</w:t>
      </w:r>
    </w:p>
    <w:p>
      <w:pPr>
        <w:spacing w:before="0" w:after="120" w:line="348" w:lineRule="auto"/>
      </w:pPr>
      <w:r>
        <w:rPr>
          <w:rFonts w:ascii="Calibri" w:hAnsi="Calibri" w:eastAsia="Microsoft JhengHei"/>
          <w:b w:val="0"/>
          <w:i w:val="0"/>
          <w:color w:val="5A5F66"/>
          <w:sz w:val="21"/>
        </w:rPr>
        <w:t>須特別說明：現行政府開放資料並未公布醫師的「專科別」人數，也未公布行政區層級的醫師人數。本報告第一部分為官方醫師人數統計，第二、三部分則以健保特約院所的家數與登記診療科別作為區域醫療供給的代理指標。</w:t>
      </w:r>
    </w:p>
    <w:p>
      <w:pPr>
        <w:keepNext/>
        <w:spacing w:before="400" w:after="160"/>
        <w:pBdr>
          <w:bottom w:val="single" w:sz="6" w:space="3" w:color="1C5CAB"/>
        </w:pBdr>
      </w:pPr>
      <w:r>
        <w:rPr>
          <w:rFonts w:ascii="Calibri" w:hAnsi="Calibri" w:eastAsia="Microsoft JhengHei"/>
          <w:b/>
          <w:i w:val="0"/>
          <w:color w:val="1C5CAB"/>
          <w:sz w:val="30"/>
        </w:rPr>
        <w:t>一、醫師人力總量與結構</w:t>
      </w:r>
    </w:p>
    <w:p>
      <w:pPr>
        <w:keepNext/>
        <w:spacing w:before="260" w:after="100"/>
      </w:pPr>
      <w:r>
        <w:rPr>
          <w:rFonts w:ascii="Calibri" w:hAnsi="Calibri" w:eastAsia="Microsoft JhengHei"/>
          <w:b/>
          <w:i w:val="0"/>
          <w:color w:val="1A1A1A"/>
          <w:sz w:val="24"/>
        </w:rPr>
        <w:t>1.1 113 年底執業醫事人員數</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608"/>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類別</w:t>
            </w:r>
          </w:p>
        </w:tc>
        <w:tc>
          <w:tcPr>
            <w:tcW w:type="dxa" w:w="170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男</w:t>
            </w:r>
          </w:p>
        </w:tc>
        <w:tc>
          <w:tcPr>
            <w:tcW w:type="dxa" w:w="170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女</w:t>
            </w:r>
          </w:p>
        </w:tc>
        <w:tc>
          <w:tcPr>
            <w:tcW w:type="dxa" w:w="170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合計</w:t>
            </w:r>
          </w:p>
        </w:tc>
        <w:tc>
          <w:tcPr>
            <w:tcW w:type="dxa" w:w="170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每萬人</w:t>
            </w:r>
          </w:p>
        </w:tc>
      </w:tr>
      <w:tr>
        <w:tc>
          <w:tcPr>
            <w:tcW w:type="dxa" w:w="260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西醫師</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3,598</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1,042</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4,640</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19.8</w:t>
            </w:r>
          </w:p>
        </w:tc>
      </w:tr>
      <w:tr>
        <w:tc>
          <w:tcPr>
            <w:tcW w:type="dxa" w:w="260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牙醫師</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1,038</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461</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1,499</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6.4</w:t>
            </w:r>
          </w:p>
        </w:tc>
      </w:tr>
      <w:tr>
        <w:tc>
          <w:tcPr>
            <w:tcW w:type="dxa" w:w="260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中醫師</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410</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242</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652</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2.8</w:t>
            </w:r>
          </w:p>
        </w:tc>
      </w:tr>
      <w:tr>
        <w:tc>
          <w:tcPr>
            <w:tcW w:type="dxa" w:w="2608"/>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left"/>
            </w:pPr>
            <w:r>
              <w:rPr>
                <w:rFonts w:ascii="Calibri" w:hAnsi="Calibri" w:eastAsia="Microsoft JhengHei"/>
                <w:b/>
                <w:i w:val="0"/>
                <w:color w:val="1A1A1A"/>
                <w:sz w:val="19"/>
              </w:rPr>
              <w:t>醫師小計</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5,046</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1,745</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6,791</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29.0</w:t>
            </w:r>
          </w:p>
        </w:tc>
      </w:tr>
      <w:tr>
        <w:tc>
          <w:tcPr>
            <w:tcW w:type="dxa" w:w="260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藥師</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1,217</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1,395</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2,612</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11.2</w:t>
            </w:r>
          </w:p>
        </w:tc>
      </w:tr>
      <w:tr>
        <w:tc>
          <w:tcPr>
            <w:tcW w:type="dxa" w:w="260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藥劑生</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290</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179</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469</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2.0</w:t>
            </w:r>
          </w:p>
        </w:tc>
      </w:tr>
      <w:tr>
        <w:tc>
          <w:tcPr>
            <w:tcW w:type="dxa" w:w="260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護理師、護士</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552</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16,968</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17,520</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74.9</w:t>
            </w:r>
          </w:p>
        </w:tc>
      </w:tr>
      <w:tr>
        <w:tc>
          <w:tcPr>
            <w:tcW w:type="dxa" w:w="260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其他醫事人員</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1,868</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3,123</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4,991</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21.3</w:t>
            </w:r>
          </w:p>
        </w:tc>
      </w:tr>
      <w:tr>
        <w:tc>
          <w:tcPr>
            <w:tcW w:type="dxa" w:w="2608"/>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left"/>
            </w:pPr>
            <w:r>
              <w:rPr>
                <w:rFonts w:ascii="Calibri" w:hAnsi="Calibri" w:eastAsia="Microsoft JhengHei"/>
                <w:b/>
                <w:i w:val="0"/>
                <w:color w:val="1A1A1A"/>
                <w:sz w:val="19"/>
              </w:rPr>
              <w:t>全體醫事人員</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8,973</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23,410</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32,383</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138.5</w:t>
            </w:r>
          </w:p>
        </w:tc>
      </w:tr>
    </w:tbl>
    <w:p>
      <w:pPr>
        <w:spacing w:before="80" w:after="200" w:line="312" w:lineRule="auto"/>
      </w:pPr>
      <w:r>
        <w:rPr>
          <w:rFonts w:ascii="Calibri" w:hAnsi="Calibri" w:eastAsia="Microsoft JhengHei"/>
          <w:b w:val="0"/>
          <w:i w:val="0"/>
          <w:color w:val="5A5F66"/>
          <w:sz w:val="17"/>
        </w:rPr>
        <w:t>資料來源：桃園市政府主計處「桃園市醫事人員數按醫事人員別分」（dataset 149633），113 年底。每萬人以 113 年底設籍人口 2,338,648 人計算。「其他醫事人員」包含呼吸治療師、物理治療師、職能治療師、諮商心理師、營養師、醫事放射師、醫事檢驗師及其他。</w:t>
      </w:r>
    </w:p>
    <w:p>
      <w:pPr>
        <w:keepNext/>
        <w:spacing w:before="260" w:after="100"/>
      </w:pPr>
      <w:r>
        <w:rPr>
          <w:rFonts w:ascii="Calibri" w:hAnsi="Calibri" w:eastAsia="Microsoft JhengHei"/>
          <w:b/>
          <w:i w:val="0"/>
          <w:color w:val="1A1A1A"/>
          <w:sz w:val="24"/>
        </w:rPr>
        <w:t>1.2 醫師人數趨勢（105–113 年）</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268"/>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年度（民國）</w:t>
            </w:r>
          </w:p>
        </w:tc>
        <w:tc>
          <w:tcPr>
            <w:tcW w:type="dxa" w:w="181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西醫師</w:t>
            </w:r>
          </w:p>
        </w:tc>
        <w:tc>
          <w:tcPr>
            <w:tcW w:type="dxa" w:w="181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牙醫師</w:t>
            </w:r>
          </w:p>
        </w:tc>
        <w:tc>
          <w:tcPr>
            <w:tcW w:type="dxa" w:w="170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中醫師</w:t>
            </w:r>
          </w:p>
        </w:tc>
        <w:tc>
          <w:tcPr>
            <w:tcW w:type="dxa" w:w="181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醫師合計</w:t>
            </w:r>
          </w:p>
        </w:tc>
      </w:tr>
      <w:tr>
        <w:tc>
          <w:tcPr>
            <w:tcW w:type="dxa" w:w="226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105</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3,822</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1,094</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491</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5,407</w:t>
            </w:r>
          </w:p>
        </w:tc>
      </w:tr>
      <w:tr>
        <w:tc>
          <w:tcPr>
            <w:tcW w:type="dxa" w:w="226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106</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3,911</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1,130</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494</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5,535</w:t>
            </w:r>
          </w:p>
        </w:tc>
      </w:tr>
      <w:tr>
        <w:tc>
          <w:tcPr>
            <w:tcW w:type="dxa" w:w="226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107</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4,021</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1,184</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526</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5,731</w:t>
            </w:r>
          </w:p>
        </w:tc>
      </w:tr>
      <w:tr>
        <w:tc>
          <w:tcPr>
            <w:tcW w:type="dxa" w:w="226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108</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4,201</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1,247</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595</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6,043</w:t>
            </w:r>
          </w:p>
        </w:tc>
      </w:tr>
      <w:tr>
        <w:tc>
          <w:tcPr>
            <w:tcW w:type="dxa" w:w="226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109</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4,169</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1,225</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522</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5,916</w:t>
            </w:r>
          </w:p>
        </w:tc>
      </w:tr>
      <w:tr>
        <w:tc>
          <w:tcPr>
            <w:tcW w:type="dxa" w:w="226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110</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4,322</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1,315</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544</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6,181</w:t>
            </w:r>
          </w:p>
        </w:tc>
      </w:tr>
      <w:tr>
        <w:tc>
          <w:tcPr>
            <w:tcW w:type="dxa" w:w="226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111</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4,463</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1,397</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602</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6,462</w:t>
            </w:r>
          </w:p>
        </w:tc>
      </w:tr>
      <w:tr>
        <w:tc>
          <w:tcPr>
            <w:tcW w:type="dxa" w:w="226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112</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4,541</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1,443</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635</w:t>
            </w:r>
          </w:p>
        </w:tc>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6,619</w:t>
            </w:r>
          </w:p>
        </w:tc>
      </w:tr>
      <w:tr>
        <w:tc>
          <w:tcPr>
            <w:tcW w:type="dxa" w:w="2268"/>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113</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4,640</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1,499</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652</w:t>
            </w:r>
          </w:p>
        </w:tc>
        <w:tc>
          <w:tcPr>
            <w:tcW w:type="dxa" w:w="181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6,791</w:t>
            </w:r>
          </w:p>
        </w:tc>
      </w:tr>
      <w:tr>
        <w:tc>
          <w:tcPr>
            <w:tcW w:type="dxa" w:w="2268"/>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left"/>
            </w:pPr>
            <w:r>
              <w:rPr>
                <w:rFonts w:ascii="Calibri" w:hAnsi="Calibri" w:eastAsia="Microsoft JhengHei"/>
                <w:b/>
                <w:i w:val="0"/>
                <w:color w:val="1A1A1A"/>
                <w:sz w:val="19"/>
              </w:rPr>
              <w:t>105→113 增幅</w:t>
            </w:r>
          </w:p>
        </w:tc>
        <w:tc>
          <w:tcPr>
            <w:tcW w:type="dxa" w:w="181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+21.4%</w:t>
            </w:r>
          </w:p>
        </w:tc>
        <w:tc>
          <w:tcPr>
            <w:tcW w:type="dxa" w:w="181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+37.0%</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+32.8%</w:t>
            </w:r>
          </w:p>
        </w:tc>
        <w:tc>
          <w:tcPr>
            <w:tcW w:type="dxa" w:w="181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+25.6%</w:t>
            </w:r>
          </w:p>
        </w:tc>
      </w:tr>
    </w:tbl>
    <w:p>
      <w:pPr>
        <w:spacing w:before="80" w:after="200" w:line="312" w:lineRule="auto"/>
      </w:pPr>
      <w:r>
        <w:rPr>
          <w:rFonts w:ascii="Calibri" w:hAnsi="Calibri" w:eastAsia="Microsoft JhengHei"/>
          <w:b w:val="0"/>
          <w:i w:val="0"/>
          <w:color w:val="5A5F66"/>
          <w:sz w:val="17"/>
        </w:rPr>
        <w:t>同期人口成長幅度小於醫師成長幅度：108→113 年桃園市人口自 2,249,037 人增至 2,338,648 人（+4.0%），同期醫師自 6,043 人增至 6,791 人（+12.4%），每萬人醫師數由 26.9 人升至 29.0 人。104 年度資料明顯不完整（醫事人員總計僅 14,980 人，次年即跳升至 25,338 人），研判為統計基礎變更，故未納入趨勢比較。</w:t>
      </w:r>
    </w:p>
    <w:p>
      <w:pPr>
        <w:keepNext/>
        <w:spacing w:before="260" w:after="100"/>
      </w:pPr>
      <w:r>
        <w:rPr>
          <w:rFonts w:ascii="Calibri" w:hAnsi="Calibri" w:eastAsia="Microsoft JhengHei"/>
          <w:b/>
          <w:i w:val="0"/>
          <w:color w:val="1A1A1A"/>
          <w:sz w:val="24"/>
        </w:rPr>
        <w:t>1.3 關於「科別分配」的資料限制</w:t>
      </w:r>
    </w:p>
    <w:p>
      <w:pPr>
        <w:spacing w:before="0" w:after="100" w:line="348" w:lineRule="auto"/>
      </w:pPr>
      <w:r>
        <w:rPr>
          <w:rFonts w:ascii="Calibri" w:hAnsi="Calibri" w:eastAsia="Microsoft JhengHei"/>
          <w:b w:val="0"/>
          <w:i w:val="0"/>
          <w:color w:val="1A1A1A"/>
          <w:sz w:val="22"/>
        </w:rPr>
        <w:t>使用者詢問的「科別分配」在現行開放資料中無法直接取得，說明如下：</w:t>
      </w:r>
    </w:p>
    <w:p>
      <w:pPr>
        <w:pStyle w:val="ListBullet"/>
        <w:spacing w:before="0" w:after="80" w:line="336" w:lineRule="auto"/>
        <w:ind w:left="567" w:hanging="227"/>
      </w:pPr>
      <w:r>
        <w:rPr>
          <w:rFonts w:ascii="Calibri" w:hAnsi="Calibri" w:eastAsia="Microsoft JhengHei"/>
          <w:b/>
          <w:i w:val="0"/>
          <w:color w:val="1A1A1A"/>
          <w:sz w:val="22"/>
        </w:rPr>
        <w:t>桃園市層級：</w:t>
      </w:r>
      <w:r>
        <w:rPr>
          <w:rFonts w:ascii="Calibri" w:hAnsi="Calibri" w:eastAsia="Microsoft JhengHei"/>
          <w:b w:val="0"/>
          <w:i w:val="0"/>
          <w:color w:val="1A1A1A"/>
          <w:sz w:val="22"/>
        </w:rPr>
        <w:t>主計處的醫事人員統計僅區分「西醫師／牙醫師／中醫師」，不含內科、外科、兒科等專科別。臺北市另有「醫院專科醫師專任人員數」資料集（dataset 130868），桃園市無對應資料。</w:t>
      </w:r>
    </w:p>
    <w:p>
      <w:pPr>
        <w:pStyle w:val="ListBullet"/>
        <w:spacing w:before="0" w:after="80" w:line="336" w:lineRule="auto"/>
        <w:ind w:left="567" w:hanging="227"/>
      </w:pPr>
      <w:r>
        <w:rPr>
          <w:rFonts w:ascii="Calibri" w:hAnsi="Calibri" w:eastAsia="Microsoft JhengHei"/>
          <w:b/>
          <w:i w:val="0"/>
          <w:color w:val="1A1A1A"/>
          <w:sz w:val="22"/>
        </w:rPr>
        <w:t>全國層級：</w:t>
      </w:r>
      <w:r>
        <w:rPr>
          <w:rFonts w:ascii="Calibri" w:hAnsi="Calibri" w:eastAsia="Microsoft JhengHei"/>
          <w:b w:val="0"/>
          <w:i w:val="0"/>
          <w:color w:val="1A1A1A"/>
          <w:sz w:val="22"/>
        </w:rPr>
        <w:t>衛生福利部統計處《醫院人力統計》（dataset 6474）與《醫院科別統計》（dataset 6475）含專科別，但僅以 ZIP 壓縮檔發布、僅涵蓋醫院（不含診所），且最細僅到縣市層級。</w:t>
      </w:r>
    </w:p>
    <w:p>
      <w:pPr>
        <w:pStyle w:val="ListBullet"/>
        <w:spacing w:before="0" w:after="80" w:line="336" w:lineRule="auto"/>
        <w:ind w:left="567" w:hanging="227"/>
      </w:pPr>
      <w:r>
        <w:rPr>
          <w:rFonts w:ascii="Calibri" w:hAnsi="Calibri" w:eastAsia="Microsoft JhengHei"/>
          <w:b/>
          <w:i w:val="0"/>
          <w:color w:val="1A1A1A"/>
          <w:sz w:val="22"/>
        </w:rPr>
        <w:t>行政區層級：</w:t>
      </w:r>
      <w:r>
        <w:rPr>
          <w:rFonts w:ascii="Calibri" w:hAnsi="Calibri" w:eastAsia="Microsoft JhengHei"/>
          <w:b w:val="0"/>
          <w:i w:val="0"/>
          <w:color w:val="1A1A1A"/>
          <w:sz w:val="22"/>
        </w:rPr>
        <w:t>全國各縣市均無按行政區發布的醫師人數資料。</w:t>
      </w:r>
    </w:p>
    <w:p>
      <w:pPr>
        <w:spacing w:before="80" w:after="120" w:line="348" w:lineRule="auto"/>
      </w:pPr>
      <w:r>
        <w:rPr>
          <w:rFonts w:ascii="Calibri" w:hAnsi="Calibri" w:eastAsia="Microsoft JhengHei"/>
          <w:b w:val="0"/>
          <w:i w:val="0"/>
          <w:color w:val="1A1A1A"/>
          <w:sz w:val="22"/>
        </w:rPr>
        <w:t>因此本報告第二部分改以健保特約院所的家數與登記診療科別，作為區域醫療供給結構的代理指標。</w:t>
      </w:r>
    </w:p>
    <w:p>
      <w:r>
        <w:br w:type="page"/>
      </w:r>
    </w:p>
    <w:p>
      <w:pPr>
        <w:keepNext/>
        <w:spacing w:before="400" w:after="160"/>
        <w:pBdr>
          <w:bottom w:val="single" w:sz="6" w:space="3" w:color="1C5CAB"/>
        </w:pBdr>
      </w:pPr>
      <w:r>
        <w:rPr>
          <w:rFonts w:ascii="Calibri" w:hAnsi="Calibri" w:eastAsia="Microsoft JhengHei"/>
          <w:b/>
          <w:i w:val="0"/>
          <w:color w:val="1C5CAB"/>
          <w:sz w:val="30"/>
        </w:rPr>
        <w:t>二、各行政區醫療資源分佈</w:t>
      </w:r>
    </w:p>
    <w:p>
      <w:pPr>
        <w:keepNext/>
        <w:spacing w:before="260" w:after="100"/>
      </w:pPr>
      <w:r>
        <w:rPr>
          <w:rFonts w:ascii="Calibri" w:hAnsi="Calibri" w:eastAsia="Microsoft JhengHei"/>
          <w:b/>
          <w:i w:val="0"/>
          <w:color w:val="1A1A1A"/>
          <w:sz w:val="24"/>
        </w:rPr>
        <w:t>2.1 各行政區院所家數</w:t>
      </w:r>
    </w:p>
    <w:tbl>
      <w:tblPr>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trPr>
        <w:tc>
          <w:tcPr>
            <w:tcW w:type="dxa" w:w="164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行政區</w:t>
            </w:r>
          </w:p>
        </w:tc>
        <w:tc>
          <w:tcPr>
            <w:tcW w:type="dxa" w:w="164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西醫診所</w:t>
            </w:r>
          </w:p>
        </w:tc>
        <w:tc>
          <w:tcPr>
            <w:tcW w:type="dxa" w:w="164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牙醫診所</w:t>
            </w:r>
          </w:p>
        </w:tc>
        <w:tc>
          <w:tcPr>
            <w:tcW w:type="dxa" w:w="164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中醫診所</w:t>
            </w:r>
          </w:p>
        </w:tc>
        <w:tc>
          <w:tcPr>
            <w:tcW w:type="dxa" w:w="164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診所合計</w:t>
            </w:r>
          </w:p>
        </w:tc>
        <w:tc>
          <w:tcPr>
            <w:tcW w:type="dxa" w:w="119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醫院</w:t>
            </w:r>
          </w:p>
        </w:tc>
      </w:tr>
      <w:tr>
        <w:tc>
          <w:tcPr>
            <w:tcW w:type="dxa" w:w="164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桃園區</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240</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190</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98</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528</w:t>
            </w:r>
          </w:p>
        </w:tc>
        <w:tc>
          <w:tcPr>
            <w:tcW w:type="dxa" w:w="119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9</w:t>
            </w:r>
          </w:p>
        </w:tc>
      </w:tr>
      <w:tr>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中壢區</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197</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140</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82</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419</w:t>
            </w:r>
          </w:p>
        </w:tc>
        <w:tc>
          <w:tcPr>
            <w:tcW w:type="dxa" w:w="119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11</w:t>
            </w:r>
          </w:p>
        </w:tc>
      </w:tr>
      <w:tr>
        <w:tc>
          <w:tcPr>
            <w:tcW w:type="dxa" w:w="164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八德區</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73</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44</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21</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138</w:t>
            </w:r>
          </w:p>
        </w:tc>
        <w:tc>
          <w:tcPr>
            <w:tcW w:type="dxa" w:w="119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r>
      <w:tr>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龜山區</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65</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40</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17</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122</w:t>
            </w:r>
          </w:p>
        </w:tc>
        <w:tc>
          <w:tcPr>
            <w:tcW w:type="dxa" w:w="119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w:t>
            </w:r>
          </w:p>
        </w:tc>
      </w:tr>
      <w:tr>
        <w:tc>
          <w:tcPr>
            <w:tcW w:type="dxa" w:w="164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蘆竹區</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58</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46</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13</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117</w:t>
            </w:r>
          </w:p>
        </w:tc>
        <w:tc>
          <w:tcPr>
            <w:tcW w:type="dxa" w:w="119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r>
      <w:tr>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楊梅區</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51</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30</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17</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98</w:t>
            </w:r>
          </w:p>
        </w:tc>
        <w:tc>
          <w:tcPr>
            <w:tcW w:type="dxa" w:w="119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w:t>
            </w:r>
          </w:p>
        </w:tc>
      </w:tr>
      <w:tr>
        <w:tc>
          <w:tcPr>
            <w:tcW w:type="dxa" w:w="164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平鎮區</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39</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34</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15</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88</w:t>
            </w:r>
          </w:p>
        </w:tc>
        <w:tc>
          <w:tcPr>
            <w:tcW w:type="dxa" w:w="119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w:t>
            </w:r>
          </w:p>
        </w:tc>
      </w:tr>
      <w:tr>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龍潭區</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41</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21</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10</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72</w:t>
            </w:r>
          </w:p>
        </w:tc>
        <w:tc>
          <w:tcPr>
            <w:tcW w:type="dxa" w:w="119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w:t>
            </w:r>
          </w:p>
        </w:tc>
      </w:tr>
      <w:tr>
        <w:tc>
          <w:tcPr>
            <w:tcW w:type="dxa" w:w="164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大園區</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24</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13</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10</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47</w:t>
            </w:r>
          </w:p>
        </w:tc>
        <w:tc>
          <w:tcPr>
            <w:tcW w:type="dxa" w:w="119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w:t>
            </w:r>
          </w:p>
        </w:tc>
      </w:tr>
      <w:tr>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大溪區</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19</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16</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40</w:t>
            </w:r>
          </w:p>
        </w:tc>
        <w:tc>
          <w:tcPr>
            <w:tcW w:type="dxa" w:w="119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w:t>
            </w:r>
          </w:p>
        </w:tc>
      </w:tr>
      <w:tr>
        <w:tc>
          <w:tcPr>
            <w:tcW w:type="dxa" w:w="164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觀音區</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12</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7</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23</w:t>
            </w:r>
          </w:p>
        </w:tc>
        <w:tc>
          <w:tcPr>
            <w:tcW w:type="dxa" w:w="119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r>
      <w:tr>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新屋區</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7</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w:t>
            </w:r>
          </w:p>
        </w:tc>
        <w:tc>
          <w:tcPr>
            <w:tcW w:type="dxa" w:w="164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13</w:t>
            </w:r>
          </w:p>
        </w:tc>
        <w:tc>
          <w:tcPr>
            <w:tcW w:type="dxa" w:w="119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r>
      <w:tr>
        <w:tc>
          <w:tcPr>
            <w:tcW w:type="dxa" w:w="164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復興區</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64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w:t>
            </w:r>
          </w:p>
        </w:tc>
        <w:tc>
          <w:tcPr>
            <w:tcW w:type="dxa" w:w="119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r>
      <w:tr>
        <w:tc>
          <w:tcPr>
            <w:tcW w:type="dxa" w:w="164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left"/>
            </w:pPr>
            <w:r>
              <w:rPr>
                <w:rFonts w:ascii="Calibri" w:hAnsi="Calibri" w:eastAsia="Microsoft JhengHei"/>
                <w:b/>
                <w:i w:val="0"/>
                <w:color w:val="1A1A1A"/>
                <w:sz w:val="19"/>
              </w:rPr>
              <w:t>全市合計</w:t>
            </w:r>
          </w:p>
        </w:tc>
        <w:tc>
          <w:tcPr>
            <w:tcW w:type="dxa" w:w="164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831</w:t>
            </w:r>
          </w:p>
        </w:tc>
        <w:tc>
          <w:tcPr>
            <w:tcW w:type="dxa" w:w="164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586</w:t>
            </w:r>
          </w:p>
        </w:tc>
        <w:tc>
          <w:tcPr>
            <w:tcW w:type="dxa" w:w="164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295</w:t>
            </w:r>
          </w:p>
        </w:tc>
        <w:tc>
          <w:tcPr>
            <w:tcW w:type="dxa" w:w="164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1,712</w:t>
            </w:r>
          </w:p>
        </w:tc>
        <w:tc>
          <w:tcPr>
            <w:tcW w:type="dxa" w:w="119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35</w:t>
            </w:r>
          </w:p>
        </w:tc>
      </w:tr>
    </w:tbl>
    <w:p>
      <w:pPr>
        <w:spacing w:before="80" w:after="200" w:line="312" w:lineRule="auto"/>
      </w:pPr>
      <w:r>
        <w:rPr>
          <w:rFonts w:ascii="Calibri" w:hAnsi="Calibri" w:eastAsia="Microsoft JhengHei"/>
          <w:b w:val="0"/>
          <w:i w:val="0"/>
          <w:color w:val="5A5F66"/>
          <w:sz w:val="17"/>
        </w:rPr>
        <w:t>資料來源：健保署「健保特約醫事機構—診所／地區醫院／區域醫院／醫學中心」（dataset 39283 / 39282 / 39281 / 39280），檔案更新日 2026-07-29，已排除已終止合約或歇業之院所。行政區依院所登記地址判定；全市 1,712 家中有 2 家因地址格式無法歸區，故各區加總為 1,710 家。</w:t>
      </w:r>
    </w:p>
    <w:p>
      <w:pPr>
        <w:keepNext/>
        <w:spacing w:before="260" w:after="100"/>
      </w:pPr>
      <w:r>
        <w:rPr>
          <w:rFonts w:ascii="Calibri" w:hAnsi="Calibri" w:eastAsia="Microsoft JhengHei"/>
          <w:b/>
          <w:i w:val="0"/>
          <w:color w:val="1A1A1A"/>
          <w:sz w:val="24"/>
        </w:rPr>
        <w:t>2.2 醫院層級分佈</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3515"/>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行政區</w:t>
            </w:r>
          </w:p>
        </w:tc>
        <w:tc>
          <w:tcPr>
            <w:tcW w:type="dxa" w:w="147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醫學中心</w:t>
            </w:r>
          </w:p>
        </w:tc>
        <w:tc>
          <w:tcPr>
            <w:tcW w:type="dxa" w:w="147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區域醫院</w:t>
            </w:r>
          </w:p>
        </w:tc>
        <w:tc>
          <w:tcPr>
            <w:tcW w:type="dxa" w:w="147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地區醫院</w:t>
            </w:r>
          </w:p>
        </w:tc>
        <w:tc>
          <w:tcPr>
            <w:tcW w:type="dxa" w:w="147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合計</w:t>
            </w:r>
          </w:p>
        </w:tc>
      </w:tr>
      <w:tr>
        <w:tc>
          <w:tcPr>
            <w:tcW w:type="dxa" w:w="351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中壢區</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11</w:t>
            </w:r>
          </w:p>
        </w:tc>
      </w:tr>
      <w:tr>
        <w:tc>
          <w:tcPr>
            <w:tcW w:type="dxa" w:w="351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桃園區</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9</w:t>
            </w:r>
          </w:p>
        </w:tc>
      </w:tr>
      <w:tr>
        <w:tc>
          <w:tcPr>
            <w:tcW w:type="dxa" w:w="351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平鎮區</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w:t>
            </w:r>
          </w:p>
        </w:tc>
      </w:tr>
      <w:tr>
        <w:tc>
          <w:tcPr>
            <w:tcW w:type="dxa" w:w="351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龜山區</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w:t>
            </w:r>
          </w:p>
        </w:tc>
      </w:tr>
      <w:tr>
        <w:tc>
          <w:tcPr>
            <w:tcW w:type="dxa" w:w="351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楊梅區</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w:t>
            </w:r>
          </w:p>
        </w:tc>
      </w:tr>
      <w:tr>
        <w:tc>
          <w:tcPr>
            <w:tcW w:type="dxa" w:w="351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龍潭區</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w:t>
            </w:r>
          </w:p>
        </w:tc>
      </w:tr>
      <w:tr>
        <w:tc>
          <w:tcPr>
            <w:tcW w:type="dxa" w:w="351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大園區</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w:t>
            </w:r>
          </w:p>
        </w:tc>
      </w:tr>
      <w:tr>
        <w:tc>
          <w:tcPr>
            <w:tcW w:type="dxa" w:w="351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新屋區</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r>
      <w:tr>
        <w:tc>
          <w:tcPr>
            <w:tcW w:type="dxa" w:w="351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八德、蘆竹、大溪、觀音、復興</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r>
      <w:tr>
        <w:tc>
          <w:tcPr>
            <w:tcW w:type="dxa" w:w="3515"/>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left"/>
            </w:pPr>
            <w:r>
              <w:rPr>
                <w:rFonts w:ascii="Calibri" w:hAnsi="Calibri" w:eastAsia="Microsoft JhengHei"/>
                <w:b/>
                <w:i w:val="0"/>
                <w:color w:val="1A1A1A"/>
                <w:sz w:val="19"/>
              </w:rPr>
              <w:t>全市合計</w:t>
            </w:r>
          </w:p>
        </w:tc>
        <w:tc>
          <w:tcPr>
            <w:tcW w:type="dxa" w:w="147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1</w:t>
            </w:r>
          </w:p>
        </w:tc>
        <w:tc>
          <w:tcPr>
            <w:tcW w:type="dxa" w:w="147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9</w:t>
            </w:r>
          </w:p>
        </w:tc>
        <w:tc>
          <w:tcPr>
            <w:tcW w:type="dxa" w:w="147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25</w:t>
            </w:r>
          </w:p>
        </w:tc>
        <w:tc>
          <w:tcPr>
            <w:tcW w:type="dxa" w:w="147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35</w:t>
            </w:r>
          </w:p>
        </w:tc>
      </w:tr>
    </w:tbl>
    <w:p>
      <w:pPr>
        <w:spacing w:before="80" w:after="200" w:line="312" w:lineRule="auto"/>
      </w:pPr>
      <w:r>
        <w:rPr>
          <w:rFonts w:ascii="Calibri" w:hAnsi="Calibri" w:eastAsia="Microsoft JhengHei"/>
          <w:b w:val="0"/>
          <w:i w:val="0"/>
          <w:color w:val="5A5F66"/>
          <w:sz w:val="17"/>
        </w:rPr>
        <w:t>全市唯一醫學中心為林口長庚紀念醫院（設籍龜山區）。八德區（21.5 萬人）與蘆竹區（17.0 萬人）為人口逾 15 萬卻無任何醫院之行政區。</w:t>
      </w:r>
    </w:p>
    <w:p>
      <w:pPr>
        <w:keepNext/>
        <w:spacing w:before="260" w:after="100"/>
      </w:pPr>
      <w:r>
        <w:rPr>
          <w:rFonts w:ascii="Calibri" w:hAnsi="Calibri" w:eastAsia="Microsoft JhengHei"/>
          <w:b/>
          <w:i w:val="0"/>
          <w:color w:val="1A1A1A"/>
          <w:sz w:val="24"/>
        </w:rPr>
        <w:t>2.3 西醫診所診療科別分佈（全市 831 家）</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835"/>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科別</w:t>
            </w:r>
          </w:p>
        </w:tc>
        <w:tc>
          <w:tcPr>
            <w:tcW w:type="dxa" w:w="187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院所數</w:t>
            </w:r>
          </w:p>
        </w:tc>
        <w:tc>
          <w:tcPr>
            <w:tcW w:type="dxa" w:w="2835"/>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科別</w:t>
            </w:r>
          </w:p>
        </w:tc>
        <w:tc>
          <w:tcPr>
            <w:tcW w:type="dxa" w:w="187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院所數</w:t>
            </w:r>
          </w:p>
        </w:tc>
      </w:tr>
      <w:tr>
        <w:tc>
          <w:tcPr>
            <w:tcW w:type="dxa" w:w="283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內科（含次專科）</w:t>
            </w:r>
          </w:p>
        </w:tc>
        <w:tc>
          <w:tcPr>
            <w:tcW w:type="dxa" w:w="187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132</w:t>
            </w:r>
          </w:p>
        </w:tc>
        <w:tc>
          <w:tcPr>
            <w:tcW w:type="dxa" w:w="283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復健科</w:t>
            </w:r>
          </w:p>
        </w:tc>
        <w:tc>
          <w:tcPr>
            <w:tcW w:type="dxa" w:w="187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46</w:t>
            </w:r>
          </w:p>
        </w:tc>
      </w:tr>
      <w:tr>
        <w:tc>
          <w:tcPr>
            <w:tcW w:type="dxa" w:w="283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外科（含次專科）</w:t>
            </w:r>
          </w:p>
        </w:tc>
        <w:tc>
          <w:tcPr>
            <w:tcW w:type="dxa" w:w="187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114</w:t>
            </w:r>
          </w:p>
        </w:tc>
        <w:tc>
          <w:tcPr>
            <w:tcW w:type="dxa" w:w="283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精神科</w:t>
            </w:r>
          </w:p>
        </w:tc>
        <w:tc>
          <w:tcPr>
            <w:tcW w:type="dxa" w:w="187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38</w:t>
            </w:r>
          </w:p>
        </w:tc>
      </w:tr>
      <w:tr>
        <w:tc>
          <w:tcPr>
            <w:tcW w:type="dxa" w:w="283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家醫科</w:t>
            </w:r>
          </w:p>
        </w:tc>
        <w:tc>
          <w:tcPr>
            <w:tcW w:type="dxa" w:w="187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114</w:t>
            </w:r>
          </w:p>
        </w:tc>
        <w:tc>
          <w:tcPr>
            <w:tcW w:type="dxa" w:w="283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皮膚科</w:t>
            </w:r>
          </w:p>
        </w:tc>
        <w:tc>
          <w:tcPr>
            <w:tcW w:type="dxa" w:w="187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32</w:t>
            </w:r>
          </w:p>
        </w:tc>
      </w:tr>
      <w:tr>
        <w:tc>
          <w:tcPr>
            <w:tcW w:type="dxa" w:w="283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兒科</w:t>
            </w:r>
          </w:p>
        </w:tc>
        <w:tc>
          <w:tcPr>
            <w:tcW w:type="dxa" w:w="187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97</w:t>
            </w:r>
          </w:p>
        </w:tc>
        <w:tc>
          <w:tcPr>
            <w:tcW w:type="dxa" w:w="283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神經科</w:t>
            </w:r>
          </w:p>
        </w:tc>
        <w:tc>
          <w:tcPr>
            <w:tcW w:type="dxa" w:w="187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15</w:t>
            </w:r>
          </w:p>
        </w:tc>
      </w:tr>
      <w:tr>
        <w:tc>
          <w:tcPr>
            <w:tcW w:type="dxa" w:w="283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耳鼻喉科</w:t>
            </w:r>
          </w:p>
        </w:tc>
        <w:tc>
          <w:tcPr>
            <w:tcW w:type="dxa" w:w="187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79</w:t>
            </w:r>
          </w:p>
        </w:tc>
        <w:tc>
          <w:tcPr>
            <w:tcW w:type="dxa" w:w="283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泌尿科</w:t>
            </w:r>
          </w:p>
        </w:tc>
        <w:tc>
          <w:tcPr>
            <w:tcW w:type="dxa" w:w="187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9</w:t>
            </w:r>
          </w:p>
        </w:tc>
      </w:tr>
      <w:tr>
        <w:tc>
          <w:tcPr>
            <w:tcW w:type="dxa" w:w="283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眼科</w:t>
            </w:r>
          </w:p>
        </w:tc>
        <w:tc>
          <w:tcPr>
            <w:tcW w:type="dxa" w:w="187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54</w:t>
            </w:r>
          </w:p>
        </w:tc>
        <w:tc>
          <w:tcPr>
            <w:tcW w:type="dxa" w:w="283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神經外科</w:t>
            </w:r>
          </w:p>
        </w:tc>
        <w:tc>
          <w:tcPr>
            <w:tcW w:type="dxa" w:w="187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w:t>
            </w:r>
          </w:p>
        </w:tc>
      </w:tr>
      <w:tr>
        <w:tc>
          <w:tcPr>
            <w:tcW w:type="dxa" w:w="283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婦產科</w:t>
            </w:r>
          </w:p>
        </w:tc>
        <w:tc>
          <w:tcPr>
            <w:tcW w:type="dxa" w:w="187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47</w:t>
            </w:r>
          </w:p>
        </w:tc>
        <w:tc>
          <w:tcPr>
            <w:tcW w:type="dxa" w:w="283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整形外科</w:t>
            </w:r>
          </w:p>
        </w:tc>
        <w:tc>
          <w:tcPr>
            <w:tcW w:type="dxa" w:w="187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w:t>
            </w:r>
          </w:p>
        </w:tc>
      </w:tr>
      <w:tr>
        <w:tc>
          <w:tcPr>
            <w:tcW w:type="dxa" w:w="283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骨科</w:t>
            </w:r>
          </w:p>
        </w:tc>
        <w:tc>
          <w:tcPr>
            <w:tcW w:type="dxa" w:w="187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47</w:t>
            </w:r>
          </w:p>
        </w:tc>
        <w:tc>
          <w:tcPr>
            <w:tcW w:type="dxa" w:w="283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麻醉科／急診醫學科</w:t>
            </w:r>
          </w:p>
        </w:tc>
        <w:tc>
          <w:tcPr>
            <w:tcW w:type="dxa" w:w="187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各 1</w:t>
            </w:r>
          </w:p>
        </w:tc>
      </w:tr>
    </w:tbl>
    <w:p>
      <w:pPr>
        <w:spacing w:before="80" w:after="200" w:line="312" w:lineRule="auto"/>
      </w:pPr>
      <w:r>
        <w:rPr>
          <w:rFonts w:ascii="Calibri" w:hAnsi="Calibri" w:eastAsia="Microsoft JhengHei"/>
          <w:b w:val="0"/>
          <w:i w:val="0"/>
          <w:color w:val="5A5F66"/>
          <w:sz w:val="17"/>
        </w:rPr>
        <w:t>統計對象為「登記提供該科之院所家數」，非醫師人數。一家診所可同時登記多科，故總和大於 831。</w:t>
      </w:r>
    </w:p>
    <w:p>
      <w:pPr>
        <w:keepNext/>
        <w:spacing w:before="260" w:after="100"/>
      </w:pPr>
      <w:r>
        <w:rPr>
          <w:rFonts w:ascii="Calibri" w:hAnsi="Calibri" w:eastAsia="Microsoft JhengHei"/>
          <w:b/>
          <w:i w:val="0"/>
          <w:color w:val="1A1A1A"/>
          <w:sz w:val="24"/>
        </w:rPr>
        <w:t>2.4 兒科與婦產科的區域可近性</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47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行政區</w:t>
            </w:r>
          </w:p>
        </w:tc>
        <w:tc>
          <w:tcPr>
            <w:tcW w:type="dxa" w:w="1417"/>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兒科院所</w:t>
            </w:r>
          </w:p>
        </w:tc>
        <w:tc>
          <w:tcPr>
            <w:tcW w:type="dxa" w:w="1587"/>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婦產科院所</w:t>
            </w:r>
          </w:p>
        </w:tc>
        <w:tc>
          <w:tcPr>
            <w:tcW w:type="dxa" w:w="1928"/>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人口（113 年）</w:t>
            </w:r>
          </w:p>
        </w:tc>
        <w:tc>
          <w:tcPr>
            <w:tcW w:type="dxa" w:w="3005"/>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備註</w:t>
            </w:r>
          </w:p>
        </w:tc>
      </w:tr>
      <w:tr>
        <w:tc>
          <w:tcPr>
            <w:tcW w:type="dxa" w:w="147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桃園區</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33</w:t>
            </w:r>
          </w:p>
        </w:tc>
        <w:tc>
          <w:tcPr>
            <w:tcW w:type="dxa" w:w="158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22</w:t>
            </w:r>
          </w:p>
        </w:tc>
        <w:tc>
          <w:tcPr>
            <w:tcW w:type="dxa" w:w="1928"/>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475,798</w:t>
            </w:r>
          </w:p>
        </w:tc>
        <w:tc>
          <w:tcPr>
            <w:tcW w:type="dxa" w:w="300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中壢區</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24</w:t>
            </w:r>
          </w:p>
        </w:tc>
        <w:tc>
          <w:tcPr>
            <w:tcW w:type="dxa" w:w="158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11</w:t>
            </w:r>
          </w:p>
        </w:tc>
        <w:tc>
          <w:tcPr>
            <w:tcW w:type="dxa" w:w="192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435,050</w:t>
            </w:r>
          </w:p>
        </w:tc>
        <w:tc>
          <w:tcPr>
            <w:tcW w:type="dxa" w:w="300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八德區</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10</w:t>
            </w:r>
          </w:p>
        </w:tc>
        <w:tc>
          <w:tcPr>
            <w:tcW w:type="dxa" w:w="158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w:t>
            </w:r>
          </w:p>
        </w:tc>
        <w:tc>
          <w:tcPr>
            <w:tcW w:type="dxa" w:w="1928"/>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214,690</w:t>
            </w:r>
          </w:p>
        </w:tc>
        <w:tc>
          <w:tcPr>
            <w:tcW w:type="dxa" w:w="300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蘆竹區</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7</w:t>
            </w:r>
          </w:p>
        </w:tc>
        <w:tc>
          <w:tcPr>
            <w:tcW w:type="dxa" w:w="158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w:t>
            </w:r>
          </w:p>
        </w:tc>
        <w:tc>
          <w:tcPr>
            <w:tcW w:type="dxa" w:w="192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169,936</w:t>
            </w:r>
          </w:p>
        </w:tc>
        <w:tc>
          <w:tcPr>
            <w:tcW w:type="dxa" w:w="300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楊梅區</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6</w:t>
            </w:r>
          </w:p>
        </w:tc>
        <w:tc>
          <w:tcPr>
            <w:tcW w:type="dxa" w:w="158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w:t>
            </w:r>
          </w:p>
        </w:tc>
        <w:tc>
          <w:tcPr>
            <w:tcW w:type="dxa" w:w="1928"/>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w:t>
            </w:r>
          </w:p>
        </w:tc>
        <w:tc>
          <w:tcPr>
            <w:tcW w:type="dxa" w:w="300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龜山區</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w:t>
            </w:r>
          </w:p>
        </w:tc>
        <w:tc>
          <w:tcPr>
            <w:tcW w:type="dxa" w:w="158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w:t>
            </w:r>
          </w:p>
        </w:tc>
        <w:tc>
          <w:tcPr>
            <w:tcW w:type="dxa" w:w="192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183,895</w:t>
            </w:r>
          </w:p>
        </w:tc>
        <w:tc>
          <w:tcPr>
            <w:tcW w:type="dxa" w:w="300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龍潭區</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w:t>
            </w:r>
          </w:p>
        </w:tc>
        <w:tc>
          <w:tcPr>
            <w:tcW w:type="dxa" w:w="158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w:t>
            </w:r>
          </w:p>
        </w:tc>
        <w:tc>
          <w:tcPr>
            <w:tcW w:type="dxa" w:w="1928"/>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127,270</w:t>
            </w:r>
          </w:p>
        </w:tc>
        <w:tc>
          <w:tcPr>
            <w:tcW w:type="dxa" w:w="300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平鎮區</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w:t>
            </w:r>
          </w:p>
        </w:tc>
        <w:tc>
          <w:tcPr>
            <w:tcW w:type="dxa" w:w="158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w:t>
            </w:r>
          </w:p>
        </w:tc>
        <w:tc>
          <w:tcPr>
            <w:tcW w:type="dxa" w:w="192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229,389</w:t>
            </w:r>
          </w:p>
        </w:tc>
        <w:tc>
          <w:tcPr>
            <w:tcW w:type="dxa" w:w="300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無婦產科診所</w:t>
            </w:r>
          </w:p>
        </w:tc>
      </w:tr>
      <w:tr>
        <w:tc>
          <w:tcPr>
            <w:tcW w:type="dxa" w:w="147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大溪區</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w:t>
            </w:r>
          </w:p>
        </w:tc>
        <w:tc>
          <w:tcPr>
            <w:tcW w:type="dxa" w:w="158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w:t>
            </w:r>
          </w:p>
        </w:tc>
        <w:tc>
          <w:tcPr>
            <w:tcW w:type="dxa" w:w="1928"/>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w:t>
            </w:r>
          </w:p>
        </w:tc>
        <w:tc>
          <w:tcPr>
            <w:tcW w:type="dxa" w:w="300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大園區</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w:t>
            </w:r>
          </w:p>
        </w:tc>
        <w:tc>
          <w:tcPr>
            <w:tcW w:type="dxa" w:w="158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w:t>
            </w:r>
          </w:p>
        </w:tc>
        <w:tc>
          <w:tcPr>
            <w:tcW w:type="dxa" w:w="192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w:t>
            </w:r>
          </w:p>
        </w:tc>
        <w:tc>
          <w:tcPr>
            <w:tcW w:type="dxa" w:w="300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r>
          </w:p>
        </w:tc>
      </w:tr>
      <w:tr>
        <w:tc>
          <w:tcPr>
            <w:tcW w:type="dxa" w:w="147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新屋區</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w:t>
            </w:r>
          </w:p>
        </w:tc>
        <w:tc>
          <w:tcPr>
            <w:tcW w:type="dxa" w:w="158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928"/>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w:t>
            </w:r>
          </w:p>
        </w:tc>
        <w:tc>
          <w:tcPr>
            <w:tcW w:type="dxa" w:w="300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無婦產科診所</w:t>
            </w:r>
          </w:p>
        </w:tc>
      </w:tr>
      <w:tr>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觀音區</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w:t>
            </w:r>
          </w:p>
        </w:tc>
        <w:tc>
          <w:tcPr>
            <w:tcW w:type="dxa" w:w="158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w:t>
            </w:r>
          </w:p>
        </w:tc>
        <w:tc>
          <w:tcPr>
            <w:tcW w:type="dxa" w:w="1928"/>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w:t>
            </w:r>
          </w:p>
        </w:tc>
        <w:tc>
          <w:tcPr>
            <w:tcW w:type="dxa" w:w="3005"/>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兩科皆無</w:t>
            </w:r>
          </w:p>
        </w:tc>
      </w:tr>
      <w:tr>
        <w:tc>
          <w:tcPr>
            <w:tcW w:type="dxa" w:w="147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復興區</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58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w:t>
            </w:r>
          </w:p>
        </w:tc>
        <w:tc>
          <w:tcPr>
            <w:tcW w:type="dxa" w:w="1928"/>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w:t>
            </w:r>
          </w:p>
        </w:tc>
        <w:tc>
          <w:tcPr>
            <w:tcW w:type="dxa" w:w="3005"/>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兩科皆無</w:t>
            </w:r>
          </w:p>
        </w:tc>
      </w:tr>
      <w:tr>
        <w:tc>
          <w:tcPr>
            <w:tcW w:type="dxa" w:w="147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left"/>
            </w:pPr>
            <w:r>
              <w:rPr>
                <w:rFonts w:ascii="Calibri" w:hAnsi="Calibri" w:eastAsia="Microsoft JhengHei"/>
                <w:b/>
                <w:i w:val="0"/>
                <w:color w:val="1A1A1A"/>
                <w:sz w:val="19"/>
              </w:rPr>
              <w:t>全市合計</w:t>
            </w:r>
          </w:p>
        </w:tc>
        <w:tc>
          <w:tcPr>
            <w:tcW w:type="dxa" w:w="1417"/>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97</w:t>
            </w:r>
          </w:p>
        </w:tc>
        <w:tc>
          <w:tcPr>
            <w:tcW w:type="dxa" w:w="1587"/>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47</w:t>
            </w:r>
          </w:p>
        </w:tc>
        <w:tc>
          <w:tcPr>
            <w:tcW w:type="dxa" w:w="1928"/>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2,338,648</w:t>
            </w:r>
          </w:p>
        </w:tc>
        <w:tc>
          <w:tcPr>
            <w:tcW w:type="dxa" w:w="3005"/>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left"/>
            </w:pPr>
            <w:r>
              <w:rPr>
                <w:rFonts w:ascii="Calibri" w:hAnsi="Calibri" w:eastAsia="Microsoft JhengHei"/>
                <w:b/>
                <w:i w:val="0"/>
                <w:color w:val="1A1A1A"/>
                <w:sz w:val="19"/>
              </w:rPr>
            </w:r>
          </w:p>
        </w:tc>
      </w:tr>
    </w:tbl>
    <w:p>
      <w:pPr>
        <w:spacing w:before="80" w:after="200" w:line="312" w:lineRule="auto"/>
      </w:pPr>
      <w:r>
        <w:rPr>
          <w:rFonts w:ascii="Calibri" w:hAnsi="Calibri" w:eastAsia="Microsoft JhengHei"/>
          <w:b w:val="0"/>
          <w:i w:val="0"/>
          <w:color w:val="5A5F66"/>
          <w:sz w:val="17"/>
        </w:rPr>
        <w:t>人口欄位以「—」標示者，係因該區與鄰區合併於同一警察分局轄區統計，無單獨行政區人口數（詳見 3.1 說明）。婦產科診所有 70.2%（33/47）集中於桃園、中壢兩區。</w:t>
      </w:r>
    </w:p>
    <w:p>
      <w:r>
        <w:br w:type="page"/>
      </w:r>
    </w:p>
    <w:p>
      <w:pPr>
        <w:keepNext/>
        <w:spacing w:before="400" w:after="160"/>
        <w:pBdr>
          <w:bottom w:val="single" w:sz="6" w:space="3" w:color="1C5CAB"/>
        </w:pBdr>
      </w:pPr>
      <w:r>
        <w:rPr>
          <w:rFonts w:ascii="Calibri" w:hAnsi="Calibri" w:eastAsia="Microsoft JhengHei"/>
          <w:b/>
          <w:i w:val="0"/>
          <w:color w:val="1C5CAB"/>
          <w:sz w:val="30"/>
        </w:rPr>
        <w:t>三、各行政區診所密度</w:t>
      </w:r>
    </w:p>
    <w:p>
      <w:pPr>
        <w:keepNext/>
        <w:spacing w:before="260" w:after="100"/>
      </w:pPr>
      <w:r>
        <w:rPr>
          <w:rFonts w:ascii="Calibri" w:hAnsi="Calibri" w:eastAsia="Microsoft JhengHei"/>
          <w:b/>
          <w:i w:val="0"/>
          <w:color w:val="1A1A1A"/>
          <w:sz w:val="24"/>
        </w:rPr>
        <w:t>3.1 統計單元說明</w:t>
      </w:r>
    </w:p>
    <w:p>
      <w:pPr>
        <w:spacing w:before="0" w:after="100" w:line="348" w:lineRule="auto"/>
      </w:pPr>
      <w:r>
        <w:rPr>
          <w:rFonts w:ascii="Calibri" w:hAnsi="Calibri" w:eastAsia="Microsoft JhengHei"/>
          <w:b w:val="0"/>
          <w:i w:val="0"/>
          <w:color w:val="1A1A1A"/>
          <w:sz w:val="22"/>
        </w:rPr>
        <w:t>計算密度所需的人口與面積，採用桃園市政府警察局「轄區現住人口、性別比例及人口密度」（dataset 26053）113 年資料，此為現有開放資料中最新且同時含人口與面積者。警察分局轄區有三組為兩區合併統計，故下表為 10 個統計單元而非 13 個行政區：</w:t>
      </w:r>
    </w:p>
    <w:p>
      <w:pPr>
        <w:pStyle w:val="ListBullet"/>
        <w:spacing w:before="0" w:after="80" w:line="336" w:lineRule="auto"/>
        <w:ind w:left="567" w:hanging="227"/>
      </w:pPr>
      <w:r>
        <w:rPr>
          <w:rFonts w:ascii="Calibri" w:hAnsi="Calibri" w:eastAsia="Microsoft JhengHei"/>
          <w:b w:val="0"/>
          <w:i w:val="0"/>
          <w:color w:val="1A1A1A"/>
          <w:sz w:val="22"/>
        </w:rPr>
        <w:t>楊梅分局 ＝ 楊梅區 ＋ 新屋區（174.14 km²）</w:t>
      </w:r>
    </w:p>
    <w:p>
      <w:pPr>
        <w:pStyle w:val="ListBullet"/>
        <w:spacing w:before="0" w:after="80" w:line="336" w:lineRule="auto"/>
        <w:ind w:left="567" w:hanging="227"/>
      </w:pPr>
      <w:r>
        <w:rPr>
          <w:rFonts w:ascii="Calibri" w:hAnsi="Calibri" w:eastAsia="Microsoft JhengHei"/>
          <w:b w:val="0"/>
          <w:i w:val="0"/>
          <w:color w:val="1A1A1A"/>
          <w:sz w:val="22"/>
        </w:rPr>
        <w:t>大園分局 ＝ 大園區 ＋ 觀音區（175.37 km²）</w:t>
      </w:r>
    </w:p>
    <w:p>
      <w:pPr>
        <w:pStyle w:val="ListBullet"/>
        <w:spacing w:before="0" w:after="80" w:line="336" w:lineRule="auto"/>
        <w:ind w:left="567" w:hanging="227"/>
      </w:pPr>
      <w:r>
        <w:rPr>
          <w:rFonts w:ascii="Calibri" w:hAnsi="Calibri" w:eastAsia="Microsoft JhengHei"/>
          <w:b w:val="0"/>
          <w:i w:val="0"/>
          <w:color w:val="1A1A1A"/>
          <w:sz w:val="22"/>
        </w:rPr>
        <w:t>大溪分局 ＝ 大溪區 ＋ 復興區（455.90 km²）</w:t>
      </w:r>
    </w:p>
    <w:p>
      <w:pPr>
        <w:spacing w:before="80" w:after="160" w:line="348" w:lineRule="auto"/>
      </w:pPr>
      <w:r>
        <w:rPr>
          <w:rFonts w:ascii="Calibri" w:hAnsi="Calibri" w:eastAsia="Microsoft JhengHei"/>
          <w:b w:val="0"/>
          <w:i w:val="0"/>
          <w:color w:val="5A5F66"/>
          <w:sz w:val="20"/>
        </w:rPr>
        <w:t>其餘 7 個分局轄區與行政區界完全一致（面積可逐一核對相符）。診所家數則依院所地址精確歸屬各行政區，合併單元的診所數為兩區加總。</w:t>
      </w:r>
    </w:p>
    <w:p>
      <w:pPr>
        <w:keepNext/>
        <w:spacing w:before="260" w:after="100"/>
      </w:pPr>
      <w:r>
        <w:rPr>
          <w:rFonts w:ascii="Calibri" w:hAnsi="Calibri" w:eastAsia="Microsoft JhengHei"/>
          <w:b/>
          <w:i w:val="0"/>
          <w:color w:val="1A1A1A"/>
          <w:sz w:val="24"/>
        </w:rPr>
        <w:t>3.2 診所密度排序</w:t>
      </w:r>
    </w:p>
    <w:tbl>
      <w:tblPr>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trPr>
        <w:tc>
          <w:tcPr>
            <w:tcW w:type="dxa" w:w="181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統計單元</w:t>
            </w:r>
          </w:p>
        </w:tc>
        <w:tc>
          <w:tcPr>
            <w:tcW w:type="dxa" w:w="130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診所數</w:t>
            </w:r>
          </w:p>
        </w:tc>
        <w:tc>
          <w:tcPr>
            <w:tcW w:type="dxa" w:w="170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人口</w:t>
            </w:r>
          </w:p>
        </w:tc>
        <w:tc>
          <w:tcPr>
            <w:tcW w:type="dxa" w:w="1417"/>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面積 km²</w:t>
            </w:r>
          </w:p>
        </w:tc>
        <w:tc>
          <w:tcPr>
            <w:tcW w:type="dxa" w:w="170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每萬人診所數</w:t>
            </w:r>
          </w:p>
        </w:tc>
        <w:tc>
          <w:tcPr>
            <w:tcW w:type="dxa" w:w="147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right"/>
            </w:pPr>
            <w:r>
              <w:rPr>
                <w:rFonts w:ascii="Calibri" w:hAnsi="Calibri" w:eastAsia="Microsoft JhengHei"/>
                <w:b/>
                <w:i w:val="0"/>
                <w:color w:val="1A1A1A"/>
                <w:sz w:val="19"/>
              </w:rPr>
              <w:t>每 km² 診所數</w:t>
            </w:r>
          </w:p>
        </w:tc>
      </w:tr>
      <w:tr>
        <w:tc>
          <w:tcPr>
            <w:tcW w:type="dxa" w:w="181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桃園區</w:t>
            </w:r>
          </w:p>
        </w:tc>
        <w:tc>
          <w:tcPr>
            <w:tcW w:type="dxa" w:w="130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528</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475,798</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34.8</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11.10</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15.17</w:t>
            </w:r>
          </w:p>
        </w:tc>
      </w:tr>
      <w:tr>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中壢區</w:t>
            </w:r>
          </w:p>
        </w:tc>
        <w:tc>
          <w:tcPr>
            <w:tcW w:type="dxa" w:w="130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419</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435,050</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76.5</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9.63</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5.48</w:t>
            </w:r>
          </w:p>
        </w:tc>
      </w:tr>
      <w:tr>
        <w:tc>
          <w:tcPr>
            <w:tcW w:type="dxa" w:w="181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蘆竹區</w:t>
            </w:r>
          </w:p>
        </w:tc>
        <w:tc>
          <w:tcPr>
            <w:tcW w:type="dxa" w:w="130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117</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169,936</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75.5</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6.89</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1.55</w:t>
            </w:r>
          </w:p>
        </w:tc>
      </w:tr>
      <w:tr>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龜山區</w:t>
            </w:r>
          </w:p>
        </w:tc>
        <w:tc>
          <w:tcPr>
            <w:tcW w:type="dxa" w:w="130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122</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183,895</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72.0</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6.63</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1.69</w:t>
            </w:r>
          </w:p>
        </w:tc>
      </w:tr>
      <w:tr>
        <w:tc>
          <w:tcPr>
            <w:tcW w:type="dxa" w:w="181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八德區</w:t>
            </w:r>
          </w:p>
        </w:tc>
        <w:tc>
          <w:tcPr>
            <w:tcW w:type="dxa" w:w="130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138</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214,690</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33.7</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6.43</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4.09</w:t>
            </w:r>
          </w:p>
        </w:tc>
      </w:tr>
      <w:tr>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龍潭區</w:t>
            </w:r>
          </w:p>
        </w:tc>
        <w:tc>
          <w:tcPr>
            <w:tcW w:type="dxa" w:w="130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72</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127,270</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75.2</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5.66</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0.96</w:t>
            </w:r>
          </w:p>
        </w:tc>
      </w:tr>
      <w:tr>
        <w:tc>
          <w:tcPr>
            <w:tcW w:type="dxa" w:w="181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楊梅＋新屋</w:t>
            </w:r>
          </w:p>
        </w:tc>
        <w:tc>
          <w:tcPr>
            <w:tcW w:type="dxa" w:w="130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111</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230,915</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174.1</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4.81</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0.64</w:t>
            </w:r>
          </w:p>
        </w:tc>
      </w:tr>
      <w:tr>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大園＋觀音</w:t>
            </w:r>
          </w:p>
        </w:tc>
        <w:tc>
          <w:tcPr>
            <w:tcW w:type="dxa" w:w="130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70</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164,040</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175.4</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4.27</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0.40</w:t>
            </w:r>
          </w:p>
        </w:tc>
      </w:tr>
      <w:tr>
        <w:tc>
          <w:tcPr>
            <w:tcW w:type="dxa" w:w="181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大溪＋復興</w:t>
            </w:r>
          </w:p>
        </w:tc>
        <w:tc>
          <w:tcPr>
            <w:tcW w:type="dxa" w:w="130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45</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107,665</w:t>
            </w:r>
          </w:p>
        </w:tc>
        <w:tc>
          <w:tcPr>
            <w:tcW w:type="dxa" w:w="1417"/>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455.9</w:t>
            </w:r>
          </w:p>
        </w:tc>
        <w:tc>
          <w:tcPr>
            <w:tcW w:type="dxa" w:w="1701"/>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4.18</w:t>
            </w:r>
          </w:p>
        </w:tc>
        <w:tc>
          <w:tcPr>
            <w:tcW w:type="dxa" w:w="1474"/>
            <w:tcBorders>
              <w:top w:val="single" w:sz="4" w:space="0" w:color="C9D2DC"/>
              <w:left w:val="single" w:sz="4" w:space="0" w:color="C9D2DC"/>
              <w:bottom w:val="single" w:sz="4" w:space="0" w:color="C9D2DC"/>
              <w:right w:val="single" w:sz="4" w:space="0" w:color="C9D2DC"/>
            </w:tcBorders>
          </w:tcPr>
          <w:p>
            <w:pPr>
              <w:spacing w:before="40" w:after="40"/>
              <w:jc w:val="right"/>
            </w:pPr>
            <w:r>
              <w:rPr>
                <w:rFonts w:ascii="Calibri" w:hAnsi="Calibri" w:eastAsia="Microsoft JhengHei"/>
                <w:b w:val="0"/>
                <w:i w:val="0"/>
                <w:color w:val="1A1A1A"/>
                <w:sz w:val="19"/>
              </w:rPr>
              <w:t>0.10</w:t>
            </w:r>
          </w:p>
        </w:tc>
      </w:tr>
      <w:tr>
        <w:tc>
          <w:tcPr>
            <w:tcW w:type="dxa" w:w="181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平鎮區</w:t>
            </w:r>
          </w:p>
        </w:tc>
        <w:tc>
          <w:tcPr>
            <w:tcW w:type="dxa" w:w="130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88</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229,389</w:t>
            </w:r>
          </w:p>
        </w:tc>
        <w:tc>
          <w:tcPr>
            <w:tcW w:type="dxa" w:w="1417"/>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47.8</w:t>
            </w:r>
          </w:p>
        </w:tc>
        <w:tc>
          <w:tcPr>
            <w:tcW w:type="dxa" w:w="170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3.84</w:t>
            </w:r>
          </w:p>
        </w:tc>
        <w:tc>
          <w:tcPr>
            <w:tcW w:type="dxa" w:w="147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right"/>
            </w:pPr>
            <w:r>
              <w:rPr>
                <w:rFonts w:ascii="Calibri" w:hAnsi="Calibri" w:eastAsia="Microsoft JhengHei"/>
                <w:b w:val="0"/>
                <w:i w:val="0"/>
                <w:color w:val="1A1A1A"/>
                <w:sz w:val="19"/>
              </w:rPr>
              <w:t>1.84</w:t>
            </w:r>
          </w:p>
        </w:tc>
      </w:tr>
      <w:tr>
        <w:tc>
          <w:tcPr>
            <w:tcW w:type="dxa" w:w="181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left"/>
            </w:pPr>
            <w:r>
              <w:rPr>
                <w:rFonts w:ascii="Calibri" w:hAnsi="Calibri" w:eastAsia="Microsoft JhengHei"/>
                <w:b/>
                <w:i w:val="0"/>
                <w:color w:val="1A1A1A"/>
                <w:sz w:val="19"/>
              </w:rPr>
              <w:t>全市</w:t>
            </w:r>
          </w:p>
        </w:tc>
        <w:tc>
          <w:tcPr>
            <w:tcW w:type="dxa" w:w="130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1,712</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2,338,648</w:t>
            </w:r>
          </w:p>
        </w:tc>
        <w:tc>
          <w:tcPr>
            <w:tcW w:type="dxa" w:w="1417"/>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1,220.9</w:t>
            </w:r>
          </w:p>
        </w:tc>
        <w:tc>
          <w:tcPr>
            <w:tcW w:type="dxa" w:w="1701"/>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7.32</w:t>
            </w:r>
          </w:p>
        </w:tc>
        <w:tc>
          <w:tcPr>
            <w:tcW w:type="dxa" w:w="1474"/>
            <w:tcBorders>
              <w:top w:val="single" w:sz="4" w:space="0" w:color="C9D2DC"/>
              <w:left w:val="single" w:sz="4" w:space="0" w:color="C9D2DC"/>
              <w:bottom w:val="single" w:sz="4" w:space="0" w:color="C9D2DC"/>
              <w:right w:val="single" w:sz="4" w:space="0" w:color="C9D2DC"/>
            </w:tcBorders>
            <w:shd w:val="clear" w:color="auto" w:fill="DCE6F2"/>
          </w:tcPr>
          <w:p>
            <w:pPr>
              <w:spacing w:before="40" w:after="40"/>
              <w:jc w:val="right"/>
            </w:pPr>
            <w:r>
              <w:rPr>
                <w:rFonts w:ascii="Calibri" w:hAnsi="Calibri" w:eastAsia="Microsoft JhengHei"/>
                <w:b/>
                <w:i w:val="0"/>
                <w:color w:val="1A1A1A"/>
                <w:sz w:val="19"/>
              </w:rPr>
              <w:t>1.40</w:t>
            </w:r>
          </w:p>
        </w:tc>
      </w:tr>
    </w:tbl>
    <w:p>
      <w:pPr>
        <w:spacing w:before="80" w:after="200" w:line="312" w:lineRule="auto"/>
      </w:pPr>
      <w:r>
        <w:rPr>
          <w:rFonts w:ascii="Calibri" w:hAnsi="Calibri" w:eastAsia="Microsoft JhengHei"/>
          <w:b w:val="0"/>
          <w:i w:val="0"/>
          <w:color w:val="5A5F66"/>
          <w:sz w:val="17"/>
        </w:rPr>
        <w:t>依「每萬人診所數」由高至低排序。全市平均 7.32 家／萬人；高於平均者僅桃園、中壢兩區。</w:t>
      </w:r>
    </w:p>
    <w:p>
      <w:pPr>
        <w:keepNext/>
        <w:spacing w:before="260" w:after="100"/>
      </w:pPr>
      <w:r>
        <w:rPr>
          <w:rFonts w:ascii="Calibri" w:hAnsi="Calibri" w:eastAsia="Microsoft JhengHei"/>
          <w:b/>
          <w:i w:val="0"/>
          <w:color w:val="1A1A1A"/>
          <w:sz w:val="24"/>
        </w:rPr>
        <w:t>3.3 觀察</w:t>
      </w:r>
    </w:p>
    <w:p>
      <w:pPr>
        <w:pStyle w:val="ListBullet"/>
        <w:spacing w:before="0" w:after="80" w:line="336" w:lineRule="auto"/>
        <w:ind w:left="567" w:hanging="227"/>
      </w:pPr>
      <w:r>
        <w:rPr>
          <w:rFonts w:ascii="Calibri" w:hAnsi="Calibri" w:eastAsia="Microsoft JhengHei"/>
          <w:b/>
          <w:i w:val="0"/>
          <w:color w:val="1A1A1A"/>
          <w:sz w:val="22"/>
        </w:rPr>
        <w:t>人口密度差距 2.9 倍。</w:t>
      </w:r>
      <w:r>
        <w:rPr>
          <w:rFonts w:ascii="Calibri" w:hAnsi="Calibri" w:eastAsia="Microsoft JhengHei"/>
          <w:b w:val="0"/>
          <w:i w:val="0"/>
          <w:color w:val="1A1A1A"/>
          <w:sz w:val="22"/>
        </w:rPr>
        <w:t>桃園區每萬人 11.10 家，平鎮區 3.84 家。全市 10 個統計單元中，僅桃園、中壢兩區高於全市平均。</w:t>
      </w:r>
    </w:p>
    <w:p>
      <w:pPr>
        <w:pStyle w:val="ListBullet"/>
        <w:spacing w:before="0" w:after="80" w:line="336" w:lineRule="auto"/>
        <w:ind w:left="567" w:hanging="227"/>
      </w:pPr>
      <w:r>
        <w:rPr>
          <w:rFonts w:ascii="Calibri" w:hAnsi="Calibri" w:eastAsia="Microsoft JhengHei"/>
          <w:b/>
          <w:i w:val="0"/>
          <w:color w:val="1A1A1A"/>
          <w:sz w:val="22"/>
        </w:rPr>
        <w:t>平鎮區為統計上的異常值，但須謹慎解讀。</w:t>
      </w:r>
      <w:r>
        <w:rPr>
          <w:rFonts w:ascii="Calibri" w:hAnsi="Calibri" w:eastAsia="Microsoft JhengHei"/>
          <w:b w:val="0"/>
          <w:i w:val="0"/>
          <w:color w:val="1A1A1A"/>
          <w:sz w:val="22"/>
        </w:rPr>
        <w:t>平鎮區人口 22.9 萬（全市第四），診所密度卻是全市最低。惟平鎮區緊鄰中壢區，兩區人口合計 66.4 萬、診所合計 507 家（每萬人 7.63 家，接近全市平均），顯示存在明顯的跨區就醫。「密度低」在此不必然等同「可近性差」；八德區之於桃園區亦同。</w:t>
      </w:r>
    </w:p>
    <w:p>
      <w:pPr>
        <w:pStyle w:val="ListBullet"/>
        <w:spacing w:before="0" w:after="80" w:line="336" w:lineRule="auto"/>
        <w:ind w:left="567" w:hanging="227"/>
      </w:pPr>
      <w:r>
        <w:rPr>
          <w:rFonts w:ascii="Calibri" w:hAnsi="Calibri" w:eastAsia="Microsoft JhengHei"/>
          <w:b/>
          <w:i w:val="0"/>
          <w:color w:val="1A1A1A"/>
          <w:sz w:val="22"/>
        </w:rPr>
        <w:t>復興區為真正的醫療資源匱乏地區。</w:t>
      </w:r>
      <w:r>
        <w:rPr>
          <w:rFonts w:ascii="Calibri" w:hAnsi="Calibri" w:eastAsia="Microsoft JhengHei"/>
          <w:b w:val="0"/>
          <w:i w:val="0"/>
          <w:color w:val="1A1A1A"/>
          <w:sz w:val="22"/>
        </w:rPr>
        <w:t>面積 350.8 km²（全市 28.7%），人口 1.1 萬，僅有 5 家西醫診所，無牙醫診所、無中醫診所、無醫院、無兒科、無婦產科。且其山地地形使跨區就醫成本遠高於平地各區。</w:t>
      </w:r>
    </w:p>
    <w:p>
      <w:pPr>
        <w:pStyle w:val="ListBullet"/>
        <w:spacing w:before="0" w:after="80" w:line="336" w:lineRule="auto"/>
        <w:ind w:left="567" w:hanging="227"/>
      </w:pPr>
      <w:r>
        <w:rPr>
          <w:rFonts w:ascii="Calibri" w:hAnsi="Calibri" w:eastAsia="Microsoft JhengHei"/>
          <w:b/>
          <w:i w:val="0"/>
          <w:color w:val="1A1A1A"/>
          <w:sz w:val="22"/>
        </w:rPr>
        <w:t>面積密度差距達 150 倍。</w:t>
      </w:r>
      <w:r>
        <w:rPr>
          <w:rFonts w:ascii="Calibri" w:hAnsi="Calibri" w:eastAsia="Microsoft JhengHei"/>
          <w:b w:val="0"/>
          <w:i w:val="0"/>
          <w:color w:val="1A1A1A"/>
          <w:sz w:val="22"/>
        </w:rPr>
        <w:t>桃園區 15.17 家／km²，大溪＋復興 0.10 家／km²。此一差距主要反映都市化程度，但對無自用交通工具者而言即為實質的就醫距離障礙。</w:t>
      </w:r>
    </w:p>
    <w:p>
      <w:pPr>
        <w:pStyle w:val="ListBullet"/>
        <w:spacing w:before="0" w:after="80" w:line="336" w:lineRule="auto"/>
        <w:ind w:left="567" w:hanging="227"/>
      </w:pPr>
      <w:r>
        <w:rPr>
          <w:rFonts w:ascii="Calibri" w:hAnsi="Calibri" w:eastAsia="Microsoft JhengHei"/>
          <w:b/>
          <w:i w:val="0"/>
          <w:color w:val="1A1A1A"/>
          <w:sz w:val="22"/>
        </w:rPr>
        <w:t>兩個人口逾 15 萬的行政區完全沒有醫院。</w:t>
      </w:r>
      <w:r>
        <w:rPr>
          <w:rFonts w:ascii="Calibri" w:hAnsi="Calibri" w:eastAsia="Microsoft JhengHei"/>
          <w:b w:val="0"/>
          <w:i w:val="0"/>
          <w:color w:val="1A1A1A"/>
          <w:sz w:val="22"/>
        </w:rPr>
        <w:t>八德區 21.5 萬人、蘆竹區 17.0 萬人，區內皆無任何層級之醫院，急重症照護完全依賴外區。</w:t>
      </w:r>
    </w:p>
    <w:p>
      <w:pPr>
        <w:keepNext/>
        <w:spacing w:before="400" w:after="160"/>
        <w:pBdr>
          <w:bottom w:val="single" w:sz="6" w:space="3" w:color="1C5CAB"/>
        </w:pBdr>
      </w:pPr>
      <w:r>
        <w:rPr>
          <w:rFonts w:ascii="Calibri" w:hAnsi="Calibri" w:eastAsia="Microsoft JhengHei"/>
          <w:b/>
          <w:i w:val="0"/>
          <w:color w:val="1C5CAB"/>
          <w:sz w:val="30"/>
        </w:rPr>
        <w:t>四、資料來源與限制</w:t>
      </w:r>
    </w:p>
    <w:p>
      <w:pPr>
        <w:keepNext/>
        <w:spacing w:before="260" w:after="100"/>
      </w:pPr>
      <w:r>
        <w:rPr>
          <w:rFonts w:ascii="Calibri" w:hAnsi="Calibri" w:eastAsia="Microsoft JhengHei"/>
          <w:b/>
          <w:i w:val="0"/>
          <w:color w:val="1A1A1A"/>
          <w:sz w:val="24"/>
        </w:rPr>
        <w:t>4.1 資料來源</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3742"/>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資料集</w:t>
            </w:r>
          </w:p>
        </w:tc>
        <w:tc>
          <w:tcPr>
            <w:tcW w:type="dxa" w:w="113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center"/>
            </w:pPr>
            <w:r>
              <w:rPr>
                <w:rFonts w:ascii="Calibri" w:hAnsi="Calibri" w:eastAsia="Microsoft JhengHei"/>
                <w:b/>
                <w:i w:val="0"/>
                <w:color w:val="1A1A1A"/>
                <w:sz w:val="19"/>
              </w:rPr>
              <w:t>編號</w:t>
            </w:r>
          </w:p>
        </w:tc>
        <w:tc>
          <w:tcPr>
            <w:tcW w:type="dxa" w:w="2494"/>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提供機關</w:t>
            </w:r>
          </w:p>
        </w:tc>
        <w:tc>
          <w:tcPr>
            <w:tcW w:type="dxa" w:w="2041"/>
            <w:shd w:val="clear" w:color="auto" w:fill="DCE6F2"/>
            <w:tcBorders>
              <w:top w:val="single" w:sz="4" w:space="0" w:color="C9D2DC"/>
              <w:left w:val="single" w:sz="4" w:space="0" w:color="C9D2DC"/>
              <w:bottom w:val="single" w:sz="4" w:space="0" w:color="C9D2DC"/>
              <w:right w:val="single" w:sz="4" w:space="0" w:color="C9D2DC"/>
            </w:tcBorders>
          </w:tcPr>
          <w:p>
            <w:pPr>
              <w:spacing w:before="60" w:after="60"/>
              <w:jc w:val="left"/>
            </w:pPr>
            <w:r>
              <w:rPr>
                <w:rFonts w:ascii="Calibri" w:hAnsi="Calibri" w:eastAsia="Microsoft JhengHei"/>
                <w:b/>
                <w:i w:val="0"/>
                <w:color w:val="1A1A1A"/>
                <w:sz w:val="19"/>
              </w:rPr>
              <w:t>期別／更新</w:t>
            </w:r>
          </w:p>
        </w:tc>
      </w:tr>
      <w:tr>
        <w:tc>
          <w:tcPr>
            <w:tcW w:type="dxa" w:w="3742"/>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桃園市醫事人員數按醫事人員別分</w:t>
            </w:r>
          </w:p>
        </w:tc>
        <w:tc>
          <w:tcPr>
            <w:tcW w:type="dxa" w:w="1134"/>
            <w:tcBorders>
              <w:top w:val="single" w:sz="4" w:space="0" w:color="C9D2DC"/>
              <w:left w:val="single" w:sz="4" w:space="0" w:color="C9D2DC"/>
              <w:bottom w:val="single" w:sz="4" w:space="0" w:color="C9D2DC"/>
              <w:right w:val="single" w:sz="4" w:space="0" w:color="C9D2DC"/>
            </w:tcBorders>
          </w:tcPr>
          <w:p>
            <w:pPr>
              <w:spacing w:before="40" w:after="40"/>
              <w:jc w:val="center"/>
            </w:pPr>
            <w:r>
              <w:rPr>
                <w:rFonts w:ascii="Calibri" w:hAnsi="Calibri" w:eastAsia="Microsoft JhengHei"/>
                <w:b w:val="0"/>
                <w:i w:val="0"/>
                <w:color w:val="1A1A1A"/>
                <w:sz w:val="19"/>
              </w:rPr>
              <w:t>149633</w:t>
            </w:r>
          </w:p>
        </w:tc>
        <w:tc>
          <w:tcPr>
            <w:tcW w:type="dxa" w:w="249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桃園市政府主計處</w:t>
            </w:r>
          </w:p>
        </w:tc>
        <w:tc>
          <w:tcPr>
            <w:tcW w:type="dxa" w:w="2041"/>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113 年底</w:t>
            </w:r>
          </w:p>
        </w:tc>
      </w:tr>
      <w:tr>
        <w:tc>
          <w:tcPr>
            <w:tcW w:type="dxa" w:w="3742"/>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健保特約醫事機構—診所</w:t>
            </w:r>
          </w:p>
        </w:tc>
        <w:tc>
          <w:tcPr>
            <w:tcW w:type="dxa" w:w="113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center"/>
            </w:pPr>
            <w:r>
              <w:rPr>
                <w:rFonts w:ascii="Calibri" w:hAnsi="Calibri" w:eastAsia="Microsoft JhengHei"/>
                <w:b w:val="0"/>
                <w:i w:val="0"/>
                <w:color w:val="1A1A1A"/>
                <w:sz w:val="19"/>
              </w:rPr>
              <w:t>39283</w:t>
            </w:r>
          </w:p>
        </w:tc>
        <w:tc>
          <w:tcPr>
            <w:tcW w:type="dxa" w:w="249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衛福部中央健康保險署</w:t>
            </w:r>
          </w:p>
        </w:tc>
        <w:tc>
          <w:tcPr>
            <w:tcW w:type="dxa" w:w="204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2026-07-29</w:t>
            </w:r>
          </w:p>
        </w:tc>
      </w:tr>
      <w:tr>
        <w:tc>
          <w:tcPr>
            <w:tcW w:type="dxa" w:w="3742"/>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健保特約醫事機構—地區醫院</w:t>
            </w:r>
          </w:p>
        </w:tc>
        <w:tc>
          <w:tcPr>
            <w:tcW w:type="dxa" w:w="1134"/>
            <w:tcBorders>
              <w:top w:val="single" w:sz="4" w:space="0" w:color="C9D2DC"/>
              <w:left w:val="single" w:sz="4" w:space="0" w:color="C9D2DC"/>
              <w:bottom w:val="single" w:sz="4" w:space="0" w:color="C9D2DC"/>
              <w:right w:val="single" w:sz="4" w:space="0" w:color="C9D2DC"/>
            </w:tcBorders>
          </w:tcPr>
          <w:p>
            <w:pPr>
              <w:spacing w:before="40" w:after="40"/>
              <w:jc w:val="center"/>
            </w:pPr>
            <w:r>
              <w:rPr>
                <w:rFonts w:ascii="Calibri" w:hAnsi="Calibri" w:eastAsia="Microsoft JhengHei"/>
                <w:b w:val="0"/>
                <w:i w:val="0"/>
                <w:color w:val="1A1A1A"/>
                <w:sz w:val="19"/>
              </w:rPr>
              <w:t>39282</w:t>
            </w:r>
          </w:p>
        </w:tc>
        <w:tc>
          <w:tcPr>
            <w:tcW w:type="dxa" w:w="249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衛福部中央健康保險署</w:t>
            </w:r>
          </w:p>
        </w:tc>
        <w:tc>
          <w:tcPr>
            <w:tcW w:type="dxa" w:w="2041"/>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2026-07-29</w:t>
            </w:r>
          </w:p>
        </w:tc>
      </w:tr>
      <w:tr>
        <w:tc>
          <w:tcPr>
            <w:tcW w:type="dxa" w:w="3742"/>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健保特約醫事機構—區域醫院</w:t>
            </w:r>
          </w:p>
        </w:tc>
        <w:tc>
          <w:tcPr>
            <w:tcW w:type="dxa" w:w="113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center"/>
            </w:pPr>
            <w:r>
              <w:rPr>
                <w:rFonts w:ascii="Calibri" w:hAnsi="Calibri" w:eastAsia="Microsoft JhengHei"/>
                <w:b w:val="0"/>
                <w:i w:val="0"/>
                <w:color w:val="1A1A1A"/>
                <w:sz w:val="19"/>
              </w:rPr>
              <w:t>39281</w:t>
            </w:r>
          </w:p>
        </w:tc>
        <w:tc>
          <w:tcPr>
            <w:tcW w:type="dxa" w:w="249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衛福部中央健康保險署</w:t>
            </w:r>
          </w:p>
        </w:tc>
        <w:tc>
          <w:tcPr>
            <w:tcW w:type="dxa" w:w="204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2026-07-29</w:t>
            </w:r>
          </w:p>
        </w:tc>
      </w:tr>
      <w:tr>
        <w:tc>
          <w:tcPr>
            <w:tcW w:type="dxa" w:w="3742"/>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健保特約醫事機構—醫學中心</w:t>
            </w:r>
          </w:p>
        </w:tc>
        <w:tc>
          <w:tcPr>
            <w:tcW w:type="dxa" w:w="1134"/>
            <w:tcBorders>
              <w:top w:val="single" w:sz="4" w:space="0" w:color="C9D2DC"/>
              <w:left w:val="single" w:sz="4" w:space="0" w:color="C9D2DC"/>
              <w:bottom w:val="single" w:sz="4" w:space="0" w:color="C9D2DC"/>
              <w:right w:val="single" w:sz="4" w:space="0" w:color="C9D2DC"/>
            </w:tcBorders>
          </w:tcPr>
          <w:p>
            <w:pPr>
              <w:spacing w:before="40" w:after="40"/>
              <w:jc w:val="center"/>
            </w:pPr>
            <w:r>
              <w:rPr>
                <w:rFonts w:ascii="Calibri" w:hAnsi="Calibri" w:eastAsia="Microsoft JhengHei"/>
                <w:b w:val="0"/>
                <w:i w:val="0"/>
                <w:color w:val="1A1A1A"/>
                <w:sz w:val="19"/>
              </w:rPr>
              <w:t>39280</w:t>
            </w:r>
          </w:p>
        </w:tc>
        <w:tc>
          <w:tcPr>
            <w:tcW w:type="dxa" w:w="2494"/>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衛福部中央健康保險署</w:t>
            </w:r>
          </w:p>
        </w:tc>
        <w:tc>
          <w:tcPr>
            <w:tcW w:type="dxa" w:w="2041"/>
            <w:tcBorders>
              <w:top w:val="single" w:sz="4" w:space="0" w:color="C9D2DC"/>
              <w:left w:val="single" w:sz="4" w:space="0" w:color="C9D2DC"/>
              <w:bottom w:val="single" w:sz="4" w:space="0" w:color="C9D2DC"/>
              <w:right w:val="single" w:sz="4" w:space="0" w:color="C9D2DC"/>
            </w:tcBorders>
          </w:tcPr>
          <w:p>
            <w:pPr>
              <w:spacing w:before="40" w:after="40"/>
              <w:jc w:val="left"/>
            </w:pPr>
            <w:r>
              <w:rPr>
                <w:rFonts w:ascii="Calibri" w:hAnsi="Calibri" w:eastAsia="Microsoft JhengHei"/>
                <w:b w:val="0"/>
                <w:i w:val="0"/>
                <w:color w:val="1A1A1A"/>
                <w:sz w:val="19"/>
              </w:rPr>
              <w:t>2026-07-29</w:t>
            </w:r>
          </w:p>
        </w:tc>
      </w:tr>
      <w:tr>
        <w:tc>
          <w:tcPr>
            <w:tcW w:type="dxa" w:w="3742"/>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警察局轄區現住人口、性別比例及人口密度</w:t>
            </w:r>
          </w:p>
        </w:tc>
        <w:tc>
          <w:tcPr>
            <w:tcW w:type="dxa" w:w="113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center"/>
            </w:pPr>
            <w:r>
              <w:rPr>
                <w:rFonts w:ascii="Calibri" w:hAnsi="Calibri" w:eastAsia="Microsoft JhengHei"/>
                <w:b w:val="0"/>
                <w:i w:val="0"/>
                <w:color w:val="1A1A1A"/>
                <w:sz w:val="19"/>
              </w:rPr>
              <w:t>26053</w:t>
            </w:r>
          </w:p>
        </w:tc>
        <w:tc>
          <w:tcPr>
            <w:tcW w:type="dxa" w:w="2494"/>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桃園市政府警察局</w:t>
            </w:r>
          </w:p>
        </w:tc>
        <w:tc>
          <w:tcPr>
            <w:tcW w:type="dxa" w:w="2041"/>
            <w:tcBorders>
              <w:top w:val="single" w:sz="4" w:space="0" w:color="C9D2DC"/>
              <w:left w:val="single" w:sz="4" w:space="0" w:color="C9D2DC"/>
              <w:bottom w:val="single" w:sz="4" w:space="0" w:color="C9D2DC"/>
              <w:right w:val="single" w:sz="4" w:space="0" w:color="C9D2DC"/>
            </w:tcBorders>
            <w:shd w:val="clear" w:color="auto" w:fill="F2F5F8"/>
          </w:tcPr>
          <w:p>
            <w:pPr>
              <w:spacing w:before="40" w:after="40"/>
              <w:jc w:val="left"/>
            </w:pPr>
            <w:r>
              <w:rPr>
                <w:rFonts w:ascii="Calibri" w:hAnsi="Calibri" w:eastAsia="Microsoft JhengHei"/>
                <w:b w:val="0"/>
                <w:i w:val="0"/>
                <w:color w:val="1A1A1A"/>
                <w:sz w:val="19"/>
              </w:rPr>
              <w:t>113 年</w:t>
            </w:r>
          </w:p>
        </w:tc>
      </w:tr>
    </w:tbl>
    <w:p>
      <w:pPr>
        <w:spacing w:before="80" w:after="200" w:line="312" w:lineRule="auto"/>
      </w:pPr>
      <w:r>
        <w:rPr>
          <w:rFonts w:ascii="Calibri" w:hAnsi="Calibri" w:eastAsia="Microsoft JhengHei"/>
          <w:b w:val="0"/>
          <w:i w:val="0"/>
          <w:color w:val="5A5F66"/>
          <w:sz w:val="17"/>
        </w:rPr>
        <w:t>全部資料集皆採「政府資料開放授權條款—第 1 版」，經由政府資料開放平臺（data.gov.tw）取得。</w:t>
      </w:r>
    </w:p>
    <w:p>
      <w:pPr>
        <w:keepNext/>
        <w:spacing w:before="260" w:after="100"/>
      </w:pPr>
      <w:r>
        <w:rPr>
          <w:rFonts w:ascii="Calibri" w:hAnsi="Calibri" w:eastAsia="Microsoft JhengHei"/>
          <w:b/>
          <w:i w:val="0"/>
          <w:color w:val="1A1A1A"/>
          <w:sz w:val="24"/>
        </w:rPr>
        <w:t>4.2 使用限制</w:t>
      </w:r>
    </w:p>
    <w:p>
      <w:pPr>
        <w:pStyle w:val="ListBullet"/>
        <w:spacing w:before="0" w:after="80" w:line="336" w:lineRule="auto"/>
        <w:ind w:left="567" w:hanging="227"/>
      </w:pPr>
      <w:r>
        <w:rPr>
          <w:rFonts w:ascii="Calibri" w:hAnsi="Calibri" w:eastAsia="Microsoft JhengHei"/>
          <w:b/>
          <w:i w:val="0"/>
          <w:color w:val="1A1A1A"/>
          <w:sz w:val="22"/>
        </w:rPr>
        <w:t>醫師專科別資料不存在。</w:t>
      </w:r>
      <w:r>
        <w:rPr>
          <w:rFonts w:ascii="Calibri" w:hAnsi="Calibri" w:eastAsia="Microsoft JhengHei"/>
          <w:b w:val="0"/>
          <w:i w:val="0"/>
          <w:color w:val="1A1A1A"/>
          <w:sz w:val="22"/>
        </w:rPr>
        <w:t>如 1.3 所述，桃園市無按專科別發布的醫師人數，行政區層級亦無醫師人數資料。第二、三部分係以院所家數作為代理指標，不可直接解讀為醫師人力分佈。</w:t>
      </w:r>
    </w:p>
    <w:p>
      <w:pPr>
        <w:pStyle w:val="ListBullet"/>
        <w:spacing w:before="0" w:after="80" w:line="336" w:lineRule="auto"/>
        <w:ind w:left="567" w:hanging="227"/>
      </w:pPr>
      <w:r>
        <w:rPr>
          <w:rFonts w:ascii="Calibri" w:hAnsi="Calibri" w:eastAsia="Microsoft JhengHei"/>
          <w:b/>
          <w:i w:val="0"/>
          <w:color w:val="1A1A1A"/>
          <w:sz w:val="22"/>
        </w:rPr>
        <w:t>院所家數不等於服務量能。</w:t>
      </w:r>
      <w:r>
        <w:rPr>
          <w:rFonts w:ascii="Calibri" w:hAnsi="Calibri" w:eastAsia="Microsoft JhengHei"/>
          <w:b w:val="0"/>
          <w:i w:val="0"/>
          <w:color w:val="1A1A1A"/>
          <w:sz w:val="22"/>
        </w:rPr>
        <w:t>一家診所可能是單醫師執業，也可能有多位醫師與多科別；醫院的規模差距更大。本報告未納入病床數、醫師人數、門診人次等量能指標。</w:t>
      </w:r>
    </w:p>
    <w:p>
      <w:pPr>
        <w:pStyle w:val="ListBullet"/>
        <w:spacing w:before="0" w:after="80" w:line="336" w:lineRule="auto"/>
        <w:ind w:left="567" w:hanging="227"/>
      </w:pPr>
      <w:r>
        <w:rPr>
          <w:rFonts w:ascii="Calibri" w:hAnsi="Calibri" w:eastAsia="Microsoft JhengHei"/>
          <w:b/>
          <w:i w:val="0"/>
          <w:color w:val="1A1A1A"/>
          <w:sz w:val="22"/>
        </w:rPr>
        <w:t>時點不一致。</w:t>
      </w:r>
      <w:r>
        <w:rPr>
          <w:rFonts w:ascii="Calibri" w:hAnsi="Calibri" w:eastAsia="Microsoft JhengHei"/>
          <w:b w:val="0"/>
          <w:i w:val="0"/>
          <w:color w:val="1A1A1A"/>
          <w:sz w:val="22"/>
        </w:rPr>
        <w:t>醫師人力與人口為 113 年底資料，院所名冊為 2026-07-29 快照，兩者相隔約 1.5 年。</w:t>
      </w:r>
    </w:p>
    <w:p>
      <w:pPr>
        <w:pStyle w:val="ListBullet"/>
        <w:spacing w:before="0" w:after="80" w:line="336" w:lineRule="auto"/>
        <w:ind w:left="567" w:hanging="227"/>
      </w:pPr>
      <w:r>
        <w:rPr>
          <w:rFonts w:ascii="Calibri" w:hAnsi="Calibri" w:eastAsia="Microsoft JhengHei"/>
          <w:b/>
          <w:i w:val="0"/>
          <w:color w:val="1A1A1A"/>
          <w:sz w:val="22"/>
        </w:rPr>
        <w:t>跨區就醫未被納入。</w:t>
      </w:r>
      <w:r>
        <w:rPr>
          <w:rFonts w:ascii="Calibri" w:hAnsi="Calibri" w:eastAsia="Microsoft JhengHei"/>
          <w:b w:val="0"/>
          <w:i w:val="0"/>
          <w:color w:val="1A1A1A"/>
          <w:sz w:val="22"/>
        </w:rPr>
        <w:t>所有密度指標皆以設籍人口為分母，未反映實際就醫流動。桃園市與新北市、新竹縣的縣市界亦存在跨縣市就醫（如龜山—林口、新屋—新豐），本報告未予處理。</w:t>
      </w:r>
    </w:p>
    <w:p>
      <w:pPr>
        <w:pStyle w:val="ListBullet"/>
        <w:spacing w:before="0" w:after="80" w:line="336" w:lineRule="auto"/>
        <w:ind w:left="567" w:hanging="227"/>
      </w:pPr>
      <w:r>
        <w:rPr>
          <w:rFonts w:ascii="Calibri" w:hAnsi="Calibri" w:eastAsia="Microsoft JhengHei"/>
          <w:b/>
          <w:i w:val="0"/>
          <w:color w:val="1A1A1A"/>
          <w:sz w:val="22"/>
        </w:rPr>
        <w:t>人口資料集的選擇。</w:t>
      </w:r>
      <w:r>
        <w:rPr>
          <w:rFonts w:ascii="Calibri" w:hAnsi="Calibri" w:eastAsia="Microsoft JhengHei"/>
          <w:b w:val="0"/>
          <w:i w:val="0"/>
          <w:color w:val="1A1A1A"/>
          <w:sz w:val="22"/>
        </w:rPr>
        <w:t>桃園市民政局「各區人口年齡層每月統計」（dataset 168384）可提供 13 個行政區的個別人口，但該資料集於平臺上正規化後之快照為舊月份（全市僅 215 萬人，與 113 年底 234 萬人相差 8%），故本報告改採警察局 113 年資料，代價是三組行政區必須合併統計。</w:t>
      </w:r>
    </w:p>
    <w:p>
      <w:pPr>
        <w:spacing w:before="0" w:after="120" w:line="348" w:lineRule="auto"/>
      </w:pPr>
    </w:p>
    <w:p>
      <w:pPr>
        <w:spacing w:before="200" w:after="120" w:line="348" w:lineRule="auto"/>
        <w:jc w:val="center"/>
      </w:pPr>
      <w:r>
        <w:rPr>
          <w:rFonts w:ascii="Calibri" w:hAnsi="Calibri" w:eastAsia="Microsoft JhengHei"/>
          <w:b w:val="0"/>
          <w:i w:val="0"/>
          <w:color w:val="5A5F66"/>
          <w:sz w:val="18"/>
        </w:rPr>
        <w:t>本報告所有數值均由政府開放資料原始檔案彙總計算，未經任何推估或補值。</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JhengHei"/>
        <w:b w:val="0"/>
        <w:i w:val="0"/>
        <w:color w:val="5A5F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