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F3864"/>
          <w:sz w:val="36"/>
          <w:szCs w:val="36"/>
        </w:rPr>
        <w:t xml:space="preserve">스페이스X · 테슬라 기업분석</w:t>
      </w:r>
    </w:p>
    <w:p>
      <w:pPr>
        <w:pBdr>
          <w:bottom w:val="single" w:color="1F3864" w:sz="8" w:space="8"/>
        </w:pBdr>
        <w:spacing w:after="32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메모 5건 회신 · 버핏 기준 정립 · 알파벳 가치와 주가 평가 · 생성 undefined</w:t>
      </w:r>
    </w:p>
    <w:p>
      <w:pPr>
        <w:pStyle w:val="Heading1"/>
        <w:spacing w:after="160" w:before="400"/>
      </w:pPr>
      <w:r>
        <w:rPr>
          <w:rFonts w:ascii="Malgun Gothic" w:cs="Malgun Gothic" w:eastAsia="Malgun Gothic" w:hAnsi="Malgun Gothic"/>
          <w:b/>
          <w:bCs/>
          <w:color w:val="1F3864"/>
          <w:sz w:val="28"/>
          <w:szCs w:val="28"/>
        </w:rPr>
        <w:t xml:space="preserve">스페이스X · 테슬라 기업분석</w:t>
      </w: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자료 SEC 공시 (SPCX 10-Q 2026-09-30 기말, 424B4 2026-06-12 · TSLA 10-K FY2025, 10-Q 2026-09-30 기말) · 주가 2026-10-28 종가 · WACC 10% 고정 · 작성 2026-10-29 · 검증 124건 통과, 변이 11/11 탐지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요약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먼저 정정합니다. 스페이스X는 비상장이 아닙니다.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제가 기억으로 비상장이라고 단정했는데, EDGAR를 조회하니 2026년 6월 나스닥에 상장(티커 SPCX, 424B4 6월 12일, Class A 6억 3,890만주 × $135.00)했고 10-Q가 두 건 제출돼 있습니다. 조회가 먼저였으면 생기지 않을 오류였습니다.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그리고 SPCX는 발사체 회사가 아닙니다.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10-Q 주석 1은 세 개 사업부를 설명합니다 — Space(발사체), Connectivity(스타링크), 그리고 Super Intelligence(SI 인프라 + Grok + Cursor + X). Cursor(Anysphere)는 2026년 8월 14일 지분가치 $60bn 기준 주식 $42,723m으로 인수했습니다. 영업권이 투하자본의 39%입니다.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두 회사 모두 ROIC가 자본비용 10%에 미달합니다.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스페이스X는 가장 관대한 관점(영업권·건설중자산 제외)에서도 2.2%, 테슬라는 FY2025 7.2%입니다. 테슬라의 10년 중위는 9.9%로 문턱 근처이고, 문턱을 넘긴 해는 5/10년입니다.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다만 스페이스X에는 사업부별로 전혀 다른 이야기가 숨어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9개월 기준 스타링크는 매출 12,796백만 달러에 영업이익 5,211백만 달러(마진 41%)로, 자기 capex 4,242백만 달러를 스스로 대고도 남습니다. SI 사업부는 영업적자 -3,295백만 달러에 capex 39,995백만 달러 — 자기 매출의 3.7배이고 그룹 전체 capex의 83%입니다.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가장 중요한 한계를 먼저 말씀드립니다. 스페이스X에는 버핏 기준의 핵심인 10년 일관성 검정을 적용할 수 없습니다.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10-K가 아직 없고, 감사된 연간 수치는 등록신고서의 3개 회계연도(FY2023~FY2025)뿐입니다. 그 3년 중 영업이익 흑자는 FY2024 한 해($466m, 마진 3.3%)입니다. 이건 자료를 더 찾아서 해결되는 문제가 아니라, 회사가 아직 그만큼의 공개 이력을 갖고 있지 않다는 사실입니다.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1. 사실관계 — 조회로 확정한 것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74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스페이스X (SPCX)</w:t>
            </w:r>
          </w:p>
        </w:tc>
        <w:tc>
          <w:tcPr>
            <w:tcW w:type="dxa" w:w="374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테슬라 (TSLA)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CIK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1181412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1318605</w:t>
            </w:r>
          </w:p>
        </w:tc>
      </w:tr>
      <w:tr>
        <w:tc>
          <w:tcPr>
            <w:tcW w:type="dxa" w:w="187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거래소·티커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나스닥 SPCX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나스닥 TSLA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상장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2026년 6월 (424B4 6/12)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2010년 6월</w:t>
            </w:r>
          </w:p>
        </w:tc>
      </w:tr>
      <w:tr>
        <w:tc>
          <w:tcPr>
            <w:tcW w:type="dxa" w:w="187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SIC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7370 Services-Computer Programming, Data Processing, Etc.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3711 Motor Vehicles &amp; Passenger Car Bodies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결산월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12월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12월</w:t>
            </w:r>
          </w:p>
        </w:tc>
      </w:tr>
      <w:tr>
        <w:tc>
          <w:tcPr>
            <w:tcW w:type="dxa" w:w="187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10-K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없음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(첫 10-K는 2027년 초 예상)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FY2025분 2026-01-29 제출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최신 10-Q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2026-09-30 기말 (10-22 제출)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2026-09-30 기말 (10-22 제출)</w:t>
            </w:r>
          </w:p>
        </w:tc>
      </w:tr>
      <w:tr>
        <w:tc>
          <w:tcPr>
            <w:tcW w:type="dxa" w:w="187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연간 감사수치 출처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등록신고서 424B4 (FY2023~FY2025)</w:t>
            </w:r>
          </w:p>
        </w:tc>
        <w:tc>
          <w:tcPr>
            <w:tcW w:type="dxa" w:w="374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10-K (FY2016~FY2025)</w:t>
            </w:r>
          </w:p>
        </w:tc>
      </w:tr>
      <w:tr>
        <w:tc>
          <w:tcPr>
            <w:tcW w:type="dxa" w:w="187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사업부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Space · Connectivity · Super Intelligence</w:t>
            </w:r>
          </w:p>
        </w:tc>
        <w:tc>
          <w:tcPr>
            <w:tcW w:type="dxa" w:w="374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단일 보고부문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스페이스X의 companyfacts API에는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연간 기간이 하나도 없습니다</w:t>
      </w:r>
      <w:r>
        <w:rPr>
          <w:rFonts w:ascii="Malgun Gothic" w:cs="Malgun Gothic" w:eastAsia="Malgun Gothic" w:hAnsi="Malgun Gothic"/>
          <w:sz w:val="19"/>
          <w:szCs w:val="19"/>
        </w:rPr>
        <w:t xml:space="preserve"> — 10-Q의 분기·누적 자료만 있습니다. 그래서 연간 수치는 1,167만 자(11MB) 분량의 424B4 본문에서 표를 찾아 읽었습니다. 표 번호는 개정판마다 바뀌므로 위치가 아니라 내용으로 찾도록 했습니다.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2. 스페이스X — 사업부가 말해주는 것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연결 영업이익률 3%는 이 회사를 거의 설명하지 못합니다. 세 사업부의 경제성이 완전히 다르고, 공시는 사업부별 매출· 영업이익·capex를 모두 제공합니다.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246"/>
        <w:gridCol w:w="1423"/>
        <w:gridCol w:w="1423"/>
        <w:gridCol w:w="1423"/>
        <w:gridCol w:w="1423"/>
        <w:gridCol w:w="1423"/>
      </w:tblGrid>
      <w:tr>
        <w:trPr>
          <w:tblHeader/>
        </w:trPr>
        <w:tc>
          <w:tcPr>
            <w:tcW w:type="dxa" w:w="224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사업부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매출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마진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capex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capex/매출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발사체 (Space)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3,348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-1,211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-36%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3,832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1.1x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스타링크 (Connectivity)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12,796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5,211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41%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4,242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0.3x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슈퍼인텔리전스 (SI)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10,939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-3,295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-30%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39,995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3.7x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합계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27,083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705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48,069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1.8x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2026년 1~9월, 단위 백만 달러.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사업부별 투하자본은 공시되지 않으므로 사업부 ROIC는 계산할 수 없습니다. 분모를 임의로 만들지 않고, 대신 같은 기간에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자기가 번 영업이익으로 자기 capex를 댈 수 있는가</w:t>
      </w:r>
      <w:r>
        <w:rPr>
          <w:rFonts w:ascii="Malgun Gothic" w:cs="Malgun Gothic" w:eastAsia="Malgun Gothic" w:hAnsi="Malgun Gothic"/>
          <w:sz w:val="19"/>
          <w:szCs w:val="19"/>
        </w:rPr>
        <w:t xml:space="preserve">를 봤습니다. 분모를 발명하지 않아도 답이 보이는 질문입니다.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사업부</w:t>
            </w:r>
          </w:p>
        </w:tc>
        <w:tc>
          <w:tcPr>
            <w:tcW w:type="dxa" w:w="3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 − capex</w:t>
            </w:r>
          </w:p>
        </w:tc>
        <w:tc>
          <w:tcPr>
            <w:tcW w:type="dxa" w:w="3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매출 성장(전년 9개월 대비)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발사체 (Space)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-5,043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스타링크 (Connectivity)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969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57%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슈퍼인텔리전스 (SI)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-43,290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380%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스타링크만 양수입니다. 발사체는 매출이 2% 늘면서 적자로 돌아섰고, SI는 매출이 380% 늘었지만 그 성장에 매출의 3.7배를 쓰고 있습니다.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그룹 capex $48,069m 중 $39,995m(83%)이 SI로 갑니다.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지금의 스페이스X는 스타링크가 버는 돈과 IPO로 받은 $85,675m을 AI 인프라에 넣고 있는 회사입니다.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연간 이력 — 있는 만큼만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1732"/>
        <w:gridCol w:w="1732"/>
        <w:gridCol w:w="1732"/>
        <w:gridCol w:w="1732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연도</w:t>
            </w:r>
          </w:p>
        </w:tc>
        <w:tc>
          <w:tcPr>
            <w:tcW w:type="dxa" w:w="17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매출</w:t>
            </w:r>
          </w:p>
        </w:tc>
        <w:tc>
          <w:tcPr>
            <w:tcW w:type="dxa" w:w="17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7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순이익</w:t>
            </w:r>
          </w:p>
        </w:tc>
        <w:tc>
          <w:tcPr>
            <w:tcW w:type="dxa" w:w="1732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영업이익률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10,387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-3,505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-4,628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-33.7%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FY2024</w:t>
            </w:r>
          </w:p>
        </w:tc>
        <w:tc>
          <w:tcPr>
            <w:tcW w:type="dxa" w:w="17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14,015</w:t>
            </w:r>
          </w:p>
        </w:tc>
        <w:tc>
          <w:tcPr>
            <w:tcW w:type="dxa" w:w="17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466</w:t>
            </w:r>
          </w:p>
        </w:tc>
        <w:tc>
          <w:tcPr>
            <w:tcW w:type="dxa" w:w="17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791</w:t>
            </w:r>
          </w:p>
        </w:tc>
        <w:tc>
          <w:tcPr>
            <w:tcW w:type="dxa" w:w="1732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3.3%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18,674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-2,589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-4,937</w:t>
            </w:r>
          </w:p>
        </w:tc>
        <w:tc>
          <w:tcPr>
            <w:tcW w:type="dxa" w:w="1732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-13.9%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등록신고서 424B4 요약재무, 단위 백만 달러. FY2022 이전은 공개 공시에 없습니다.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3년 중 흑자 1년. 버핏 기준의 '10년간 꾸준한 수익력'은 이 자료로는 참도 거짓도 판정할 수 없습니다.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판정 불가는 통과가 아닙니다.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ROIC — 세 가지 분모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알파벳 분석에서 세웠던 구분을 그대로 적용했습니다. 자본을 쏟아붓는 회사는 사업이 나빠지지 않아도 ROIC가 떨어집니다 — 돈을 쓰는 순간 분모가 커지지만 분자는 그 자산이 가동될 때까지 기다리기 때문입니다.</w:t>
      </w:r>
    </w:p>
    <w:p>
      <w:pPr>
        <w:shd w:fill="F2F4F8" w:color="auto" w:val="clear"/>
        <w:spacing w:after="180" w:before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18"/>
          <w:szCs w:val="18"/>
        </w:rPr>
        <w:t xml:space="preserve">보고 = 자기자본+우선주+차입금−현금 · 영업 = 보고−영업권−무형자산 · 가동 = 영업−건설중자산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246"/>
        <w:gridCol w:w="1423"/>
        <w:gridCol w:w="1423"/>
        <w:gridCol w:w="1423"/>
        <w:gridCol w:w="1423"/>
        <w:gridCol w:w="1423"/>
      </w:tblGrid>
      <w:tr>
        <w:trPr>
          <w:tblHeader/>
        </w:trPr>
        <w:tc>
          <w:tcPr>
            <w:tcW w:type="dxa" w:w="224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분모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기초(2025-12)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기말(2026-09)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평균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ROIC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−10%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보고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39.5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125.8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82.6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0.9%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-9.1%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26.1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71.0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48.5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1.5%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-8.5%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가동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21.5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47.2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34.4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2.2%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-7.8%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 분자는 9개월 영업이익 705백만 달러를 연율화한 940백만 달러에 법정세율 21%를 적용한 NOPAT 743백만 달러.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연율화는 거칠고, 그 점을 밝혀 둡니다. 분기마다 $20bn씩 설비를 늘리는 회사의 4분기는 앞 9개월의 3분의 1이 아닙니다. 그래도 9개월 분자를 연간 평균 분모에 나누면 수익률이 3분의 1로 깎이는데, 그게 더 큰 오류입니다.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세 관점 모두 문턱 아래입니다.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관대한 가동자본 기준으로도 2.2%, 10%까지 7.8% 부족합니다. 우선주를 자본에 넣은 이유는 2025년 12월 $38,752m이 있었고 IPO로 전환되어 2026년 9월 0이 되었기 때문입니다 — 빼면 돈을 조달한 해에 자본이 $38.8bn 줄어든 것처럼 보입니다.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아직 돈을 벌지 않는 자본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2309"/>
        <w:gridCol w:w="2309"/>
        <w:gridCol w:w="2309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2025-12-31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2026-09-30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증가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PP&amp;E 총액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55,303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110,005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+99%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건설중자산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4,604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23,745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+416%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건설중 비중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8%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22%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영업권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11,809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48,423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+310%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계약잔고(RPO)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—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62,959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선수금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12,116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17,520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건설중자산이 9개월 만에 4,604에서 23,745백만 달러로 늘어, PP&amp;E 총액의 22%가 아직 가동되지 않은 자산입니다. 알파벳에서 이 비중이 38%였고 그 조정이 증분 ROIC를 25%에서 51%로 바꿨습니다. 여기서도 같은 방향으로 작용하지만, 출발점이 0.9%라서 2.2%가 되는 데 그칩니다.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계약잔고 63.0십억 달러는 연율 매출의 1.7배이고, 공시에 따르면 67%가 1년 내, 27%가 그 다음, 6%가 이후에 인식됩니다. 이미 받은 선수금은 17.5십억 달러입니다. 이건 앞으로의 매출을 뒷받침하는 사실이지만, 수익성을 뒷받침하지는 않습니다 — SI의 적자는 매출이 없어서가 아니라 매출보다 비용이 커서 나는 것입니다.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3. 테슬라 — 10년이 있는 쪽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246"/>
        <w:gridCol w:w="1423"/>
        <w:gridCol w:w="1423"/>
        <w:gridCol w:w="1423"/>
        <w:gridCol w:w="1423"/>
        <w:gridCol w:w="1423"/>
      </w:tblGrid>
      <w:tr>
        <w:trPr>
          <w:tblHeader/>
        </w:trPr>
        <w:tc>
          <w:tcPr>
            <w:tcW w:type="dxa" w:w="224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연도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매출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영업이익률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ROIC</w:t>
            </w:r>
          </w:p>
        </w:tc>
        <w:tc>
          <w:tcPr>
            <w:tcW w:type="dxa" w:w="142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−10%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FY2016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7,000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-667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-9.5%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-9.1%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-19.1%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FY2017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11,759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-1,632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-13.9%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-12.2%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-22.2%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FY2018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21,461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-388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-1.8%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-2.4%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-12.4%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FY2019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24,578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-69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-0.3%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-0.4%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-10.4%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FY2020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31,536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1,994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6.3%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12.5%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2.5%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FY2021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53,823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6,523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12.1%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39.1%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29.1%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FY2022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81,462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13,656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16.8%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59.8%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49.8%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96,773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8,891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9.2%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27.6%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17.6%</w:t>
            </w:r>
          </w:p>
        </w:tc>
      </w:tr>
      <w:tr>
        <w:tc>
          <w:tcPr>
            <w:tcW w:type="dxa" w:w="224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FY2024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97,690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7,076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7.2%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14.2%</w:t>
            </w:r>
          </w:p>
        </w:tc>
        <w:tc>
          <w:tcPr>
            <w:tcW w:type="dxa" w:w="142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4.2%</w:t>
            </w:r>
          </w:p>
        </w:tc>
      </w:tr>
      <w:tr>
        <w:tc>
          <w:tcPr>
            <w:tcW w:type="dxa" w:w="224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94,827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4,355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4.6%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7.2%</w:t>
            </w:r>
          </w:p>
        </w:tc>
        <w:tc>
          <w:tcPr>
            <w:tcW w:type="dxa" w:w="142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-2.8%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백만 달러. 10-K 기준.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ROIC가 FY2022 59.8%에서 FY2025 7.2%로 내려왔습니다. 10년 중위 9.9%, 문턱 초과 5/10년 — '꾸준히 자본비용을 넘긴 회사'라고 하기 어렵습니다.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증분 ROIC — 최근에 넣은 돈이 버는 것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10년 평균은 과거에 넣은 자본이 번 것을 말합니다. 지금 판단에 필요한 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최근에 넣은 자본이 버는 것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이고, 그건 영업이익 증가분을 투하자본 증가분으로 나눈 값입니다.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2309"/>
        <w:gridCol w:w="2309"/>
        <w:gridCol w:w="2309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구간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ΔNOPAT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Δ투하자본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증분 ROIC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FY2020→FY2025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1.7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33.2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5.1%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FY2022→FY2025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-9.3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21.0</w:t>
            </w:r>
          </w:p>
        </w:tc>
        <w:tc>
          <w:tcPr>
            <w:tcW w:type="dxa" w:w="2309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-44.5%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FY2023→FY2025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-5.3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8.4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-62.9%</w:t>
            </w:r>
          </w:p>
        </w:tc>
      </w:tr>
    </w:tbl>
    <w:p>
      <w:pPr>
        <w:spacing w:after="200"/>
      </w:pPr>
    </w:p>
    <w:p>
      <w:pPr>
        <w:pBdr>
          <w:left w:val="single" w:color="BFBFBF" w:sz="12" w:space="10"/>
        </w:pBdr>
        <w:spacing w:after="180" w:before="100" w:line="264"/>
        <w:ind w:left="200"/>
      </w:pPr>
      <w:r>
        <w:rPr>
          <w:rFonts w:ascii="Malgun Gothic" w:cs="Malgun Gothic" w:eastAsia="Malgun Gothic" w:hAnsi="Malgun Gothic"/>
          <w:color w:val="595959"/>
          <w:sz w:val="17"/>
          <w:szCs w:val="17"/>
        </w:rPr>
        <w:t xml:space="preserve">단위 십억 달러.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FY2022→FY2025에 투하자본이 21.0십억 달러 늘었는데 NOPAT은 -9.3십억 달러 줄었습니다. 증분 ROIC -44.5%는 '최근 3년에 추가로 넣은 자본이 수익을 전혀 늘리지 못했다'는 뜻입니다. FY2020 기준으로 보면 5.1%로, 플러스지만 역시 문턱 아래입니다.</w:t>
      </w:r>
    </w:p>
    <w:p>
      <w:pPr>
        <w:pStyle w:val="Heading3"/>
        <w:spacing w:after="100" w:before="240"/>
      </w:pPr>
      <w:r>
        <w:rPr>
          <w:rFonts w:ascii="Malgun Gothic" w:cs="Malgun Gothic" w:eastAsia="Malgun Gothic" w:hAnsi="Malgun Gothic"/>
          <w:b/>
          <w:bCs/>
          <w:color w:val="8B3A2F"/>
          <w:sz w:val="20"/>
          <w:szCs w:val="20"/>
        </w:rPr>
        <w:t xml:space="preserve">건설중자산을 빼면 달라지는가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2309"/>
        <w:gridCol w:w="2309"/>
        <w:gridCol w:w="2309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연도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보고 ROIC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가동자본 ROIC</w:t>
            </w:r>
          </w:p>
        </w:tc>
        <w:tc>
          <w:tcPr>
            <w:tcW w:type="dxa" w:w="2309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건설중 비중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FY2025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7.2%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8.8%</w:t>
            </w:r>
          </w:p>
        </w:tc>
        <w:tc>
          <w:tcPr>
            <w:tcW w:type="dxa" w:w="2309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19%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FY2025 7.2% → 8.8%. 방향은 맞지만 문턱을 넘기지 못합니다. 알파벳과 달리 테슬라의 미사용 자본 비중은 19%로, 설명이 되는 크기가 아닙니다.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다만 테슬라도 같은 AI 설비 투자를 하고 있습니다. PP&amp;E의 AI·SI 인프라 항목이 2024년 12월 5,152에서 2026년 9월 10,956백만 달러로 늘었습니다. FY2025 10-K는 이 항목을 'AI infrastructure'로, 2026년 3분기 10-Q는 'SI infrastructure'로 부릅니다 — 스페이스X가 AI 사업부를 Super Intelligence로 개칭한 것과 같은 변경입니다.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4. 가격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스페이스X</w:t>
            </w:r>
          </w:p>
        </w:tc>
        <w:tc>
          <w:tcPr>
            <w:tcW w:type="dxa" w:w="3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테슬라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주가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$145.23 (2026-10-28)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$404.22 (2026-10-28)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발행주식수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13.579십억주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3.953십억주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1,972십억 달러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1,598십억 달러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연율 NOPAT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0.7십억 달러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3.2십억 달러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시가총액 / NOPAT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2,656배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502배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DCF를 돌리지 않았습니다.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알파벳에서는 성장률이 떨어지는 여러 시나리오로 현재가치를 쌓았지만, 그 계산은 출발점이 되는 정상 수익력이 있어야 성립합니다. 스페이스X는 3년 중 2년이 영업적자이고 분기마다 자본구조가 바뀌고 있어서, 어떤 숫자를 기준 수익력으로 잡아도 그 선택이 결과를 전부 결정합니다. 테슬라는 기준 수익력은 있지만 증분 ROIC가 음수여서, 성장을 가정하는 모형이 가치를 늘리는 게 아니라 줄입니다. 두 경우 모두 모형을 돌리는 것이 정확도를 높이지 않고 가정을 숨깁니다.</w:t>
      </w: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대신 거꾸로 묻는 게 정직합니다. 테슬라의 현재 시가총액 1,598십억 달러가 10% 수익률을 내려면 NOPAT이 160십억 달러여야 합니다. FY2025 실적의 50배입니다. 스페이스X는 197십억 달러가 필요한데 연율 NOPAT이 0.7십억 달러입니다.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5. 버핏 기준 판정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기준</w:t>
            </w:r>
          </w:p>
        </w:tc>
        <w:tc>
          <w:tcPr>
            <w:tcW w:type="dxa" w:w="3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스페이스X</w:t>
            </w:r>
          </w:p>
        </w:tc>
        <w:tc>
          <w:tcPr>
            <w:tcW w:type="dxa" w:w="3463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테슬라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이해할 수 있는 사업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세 사업부의 경제성이 전혀 다르고, 그중 하나는 2개월 전 인수한 AI 사업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△ 자동차·에너지는 명확, AI·로보틱스 비중이 커지는 중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10년 일관된 수익력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6"/>
                <w:szCs w:val="16"/>
              </w:rPr>
              <w:t xml:space="preserve">판정 불가</w:t>
            </w: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 — 감사된 연간 수치 3년, 그중 흑자 1년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문턱 초과 5/10년, 중위 9.9%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ROIC &gt; WACC(10%)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보고 0.9% · 가동 2.2%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FY2025 7.2% · 가동 8.8%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증분 ROIC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산출 불가 (자본구조 급변) · SI capex는 매출의 3.7배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FY2022→25 -44.5%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낮은 부채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△ 차입금 39십억 달러에 현금·유가증권 90십억 달러로 순현금</w:t>
            </w:r>
          </w:p>
        </w:tc>
        <w:tc>
          <w:tcPr>
            <w:tcW w:type="dxa" w:w="3463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△ 순현금이지만 FY2025 영업이익이 이자비용 대비 축소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가격 매력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시총/NOPAT 2,656배</w:t>
            </w:r>
          </w:p>
        </w:tc>
        <w:tc>
          <w:tcPr>
            <w:tcW w:type="dxa" w:w="3463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✗ 시총/NOPAT 502배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스페이스X 안에서 버핏 기준을 자기 숫자로 통과하는 사업은 스타링크 하나입니다.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9개월 영업이익률 41%, 자기 capex를 자기 영업이익으로 대고, 매출이 57% 늘었습니다. 문제는 그걸 따로 살 수 없다는 것입니다 — SPCX를 사면 스타링크가 버는 돈을 SI 사업부에 넣는 결정을 함께 사게 됩니다. 지금 그 비율은 그룹 capex의 83%입니다.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6. 이 분석의 한계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스페이스X는 10년 검정을 할 수 없습니다.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가장 중요한 한계이고, 자료를 더 찾아 해결되지 않습니다. 첫 10-K가 나오는 2027년 초에 FY2026 연간 수치가 확정되면 4년이 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9개월을 연율화했습니다.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자본이 분기마다 수십억 달러씩 늘고 있어 4분기가 앞 9개월과 같은 속도일 이유가 없습니다. ROIC 수준은 ±1%p 이상 달라질 수 있지만, 10% 문턱 판정은 바뀌지 않습니다 (가장 관대한 관점에서도 7.8%p 부족).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사업부 ROIC는 계산하지 않았습니다.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사업부별 투하자본이 공시되지 않습니다. 사업부 capex를 누적해 분모를 만드는 방법이 있지만, 그건 측정이 아니라 추정이고 결과를 좌우합니다.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Cursor 인수 2개월분만 반영돼 있습니다.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2026년 8월 14일 종료이므로 3분기 실적에 1.5개월만 들어 있고, 영업권 48십억 달러는 전액 반영돼 있습니다. 분자와 분모의 기간이 어긋나 있어 다음 분기부터 ROIC가 올라갈 여지가 있습니다.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DCF를 돌리지 않았습니다.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이유는 4장에 적었습니다. 필요하시면 기준 수익력을 무엇으로 잡을지 먼저 정한 뒤에 돌리겠습니다.</w:t>
      </w:r>
    </w:p>
    <w:p>
      <w:pPr>
        <w:pStyle w:val="ListParagraph"/>
        <w:numPr>
          <w:ilvl w:val="0"/>
          <w:numId w:val="2"/>
        </w:numPr>
        <w:spacing w:after="120" w:line="284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WACC 10%는 지시에 따른 고정값입니다.</w:t>
      </w:r>
      <w:r>
        <w:rPr>
          <w:rFonts w:ascii="Malgun Gothic" w:cs="Malgun Gothic" w:eastAsia="Malgun Gothic" w:hAnsi="Malgun Gothic"/>
          <w:sz w:val="19"/>
          <w:szCs w:val="19"/>
        </w:rPr>
        <w:t xml:space="preserve"> 두 회사의 실제 자본비용은 다르고, 특히 스페이스X는 상장 4개월째여서 시장 기반 추정이 의미를 갖기 어렵습니다.</w:t>
      </w:r>
    </w:p>
    <w:p>
      <w:pPr>
        <w:pStyle w:val="Heading2"/>
        <w:spacing w:after="120" w:before="300"/>
      </w:pPr>
      <w:r>
        <w:rPr>
          <w:rFonts w:ascii="Malgun Gothic" w:cs="Malgun Gothic" w:eastAsia="Malgun Gothic" w:hAnsi="Malgun Gothic"/>
          <w:b/>
          <w:bCs/>
          <w:color w:val="1F3864"/>
          <w:sz w:val="23"/>
          <w:szCs w:val="23"/>
        </w:rPr>
        <w:t xml:space="preserve">7. 검증과 재현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검증 방식</w:t>
            </w:r>
          </w:p>
        </w:tc>
        <w:tc>
          <w:tcPr>
            <w:tcW w:type="dxa" w:w="69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항등식</w:t>
            </w:r>
          </w:p>
        </w:tc>
        <w:tc>
          <w:tcPr>
            <w:tcW w:type="dxa" w:w="6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투하자본 구성, NOPAT, ROIC, 평균 산정, PP&amp;E 순액=총액−감가상각누계, 시가총액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합계 검정</w:t>
            </w:r>
          </w:p>
        </w:tc>
        <w:tc>
          <w:tcPr>
            <w:tcW w:type="dxa" w:w="692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사업부 매출·영업이익·capex의 합이 연결 수치와 일치, PP&amp;E 구성항목이 총액 범위 내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범위 검정</w:t>
            </w:r>
          </w:p>
        </w:tc>
        <w:tc>
          <w:tcPr>
            <w:tcW w:type="dxa" w:w="6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발행주식수 10억~1,000억주, 시가총액 1,000억~10조 달러 (배율 오류 탐지용)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공시 앵커</w:t>
            </w:r>
          </w:p>
        </w:tc>
        <w:tc>
          <w:tcPr>
            <w:tcW w:type="dxa" w:w="692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20건 — 공시 본문에서 손으로 읽은 수치와 대조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합계</w:t>
            </w:r>
          </w:p>
        </w:tc>
        <w:tc>
          <w:tcPr>
            <w:tcW w:type="dxa" w:w="6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124건 전부 통과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변이 검정</w:t>
            </w:r>
          </w:p>
        </w:tc>
        <w:tc>
          <w:tcPr>
            <w:tcW w:type="dxa" w:w="692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11건 전부 탐지 (10-K 존재를 위조하는 변이 포함)</w:t>
            </w:r>
          </w:p>
        </w:tc>
      </w:tr>
    </w:tbl>
    <w:p>
      <w:pPr>
        <w:spacing w:after="200"/>
      </w:pPr>
    </w:p>
    <w:p>
      <w:pPr>
        <w:spacing w:after="140" w:line="288"/>
      </w:pPr>
      <w:r>
        <w:rPr>
          <w:rFonts w:ascii="Malgun Gothic" w:cs="Malgun Gothic" w:eastAsia="Malgun Gothic" w:hAnsi="Malgun Gothic"/>
          <w:sz w:val="19"/>
          <w:szCs w:val="19"/>
        </w:rPr>
        <w:t xml:space="preserve">합계 검정이 특히 중요했습니다. 이 수치들은 API가 아니라 공시 렌더링을 파싱해 얻은 것이고, 파서가 숫자 대신 표제 행을 잡거나 '$ in Millions' 배율을 주식수에 적용하면 </w:t>
      </w: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내부적으로 일관되면서 틀린 값</w:t>
      </w:r>
      <w:r>
        <w:rPr>
          <w:rFonts w:ascii="Malgun Gothic" w:cs="Malgun Gothic" w:eastAsia="Malgun Gothic" w:hAnsi="Malgun Gothic"/>
          <w:sz w:val="19"/>
          <w:szCs w:val="19"/>
        </w:rPr>
        <w:t xml:space="preserve">이 나옵니다. 실제로 둘 다 일어났습니다 — 우선주가 0으로 읽힌 것은 $38,752m 위의 표제를 잡았기 때문이고, 주식수가 1.4×10¹⁶으로 나와 시가총액이 200경 달러가 된 적도 있습니다. 사업부 합계와 범위 검정이 그 부류를 잡습니다.</w:t>
      </w:r>
    </w:p>
    <w:tbl>
      <w:tblPr>
        <w:tblW w:type="dxa" w:w="9360"/>
        <w:tblBorders>
          <w:top w:val="single" w:color="BFBFBF" w:sz="2"/>
          <w:left w:val="none"/>
          <w:bottom w:val="single" w:color="BFBFBF" w:sz="2"/>
          <w:right w:val="none"/>
          <w:insideH w:val="single" w:color="D9D9D9" w:sz="1"/>
          <w:insideV w:val="none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파일</w:t>
            </w:r>
          </w:p>
        </w:tc>
        <w:tc>
          <w:tcPr>
            <w:tcW w:type="dxa" w:w="69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6"/>
                <w:szCs w:val="16"/>
              </w:rPr>
              <w:t xml:space="preserve">역할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collect_spx_tsla.py</w:t>
            </w:r>
          </w:p>
        </w:tc>
        <w:tc>
          <w:tcPr>
            <w:tcW w:type="dxa" w:w="6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10-Q·10-K·424B4에서 재무제표 표 수집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analyse_spx_tsla.py</w:t>
            </w:r>
          </w:p>
        </w:tc>
        <w:tc>
          <w:tcPr>
            <w:tcW w:type="dxa" w:w="692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ROIC 3개 관점·사업부·증분·가격</w:t>
            </w:r>
          </w:p>
        </w:tc>
      </w:tr>
      <w:tr>
        <w:tc>
          <w:tcPr>
            <w:tcW w:type="dxa" w:w="2434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verify_spx_tsla.py</w:t>
            </w:r>
          </w:p>
        </w:tc>
        <w:tc>
          <w:tcPr>
            <w:tcW w:type="dxa" w:w="6926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항등식·합계·앵커 + 변이 검정</w:t>
            </w:r>
          </w:p>
        </w:tc>
      </w:tr>
      <w:tr>
        <w:tc>
          <w:tcPr>
            <w:tcW w:type="dxa" w:w="2434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export_spx_tsla.py</w:t>
            </w:r>
          </w:p>
        </w:tc>
        <w:tc>
          <w:tcPr>
            <w:tcW w:type="dxa" w:w="6926"/>
            <w:shd w:fill="F2F4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  <w:jc w:val="right"/>
            </w:pPr>
            <w:r>
              <w:rPr>
                <w:rFonts w:ascii="Malgun Gothic" w:cs="Malgun Gothic" w:eastAsia="Malgun Gothic" w:hAnsi="Malgun Gothic"/>
                <w:sz w:val="16"/>
                <w:szCs w:val="16"/>
              </w:rPr>
              <w:t xml:space="preserve">마크다운·워드·엑셀 작성</w:t>
            </w:r>
          </w:p>
        </w:tc>
      </w:tr>
    </w:tbl>
    <w:p>
      <w:pPr>
        <w:spacing w:after="200"/>
      </w:pPr>
    </w:p>
    <w:sectPr>
      <w:pgSz w:w="12240" w:h="15840" w:orient="portrait"/>
      <w:pgMar w:top="1152" w:right="1080" w:bottom="1152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2026-10-29T13:14:16.115Z</dcterms:created>
  <dcterms:modified xsi:type="dcterms:W3CDTF">2026-10-29T13:14:16.125Z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