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2026-08-29 06:53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37개사가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0개사(없음)이고,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2개(AMD, INTC)입니다.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4.65% (2026-08-07,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112.9%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기준 시나리오는 할인율 10%·영구성장 2.5%, 예측기간 10년입니다. 금액 단위는 십억 달러입니다.</w:t>
      </w:r>
    </w:p>
    <w:p>
      <w:pPr>
        <w:spacing w:after="120" w:line="276"/>
      </w:pPr>
      <w:r>
        <w:rPr>
          <w:rFonts w:ascii="Malgun Gothic" w:cs="Malgun Gothic" w:eastAsia="Malgun Gothic" w:hAnsi="Malgun Gothic"/>
          <w:sz w:val="20"/>
          <w:szCs w:val="20"/>
        </w:rPr>
        <w:t xml:space="preserve">적정가치는 하나의 숫자가 아니라 범위로 제시합니다. 하한은 설비투자 전액을 주주이익에서 차감한 것이고, 상한은 감가상각만큼만(유지 목적) 차감한 것입니다. 버핏의 주주이익 정의는 '장기 경쟁지위와 판매량을 유지하는 데 필요한' 지출을 빼라고 하므로 후자가 정의에 더 가깝지만, 인플레이션기에는 자산 교체비용이 감가상각을 넘으므로 전자가 안전한 하한입니다.</w:t>
      </w:r>
    </w:p>
    <w:p>
      <w:pPr>
        <w:spacing w:after="120" w:line="276"/>
      </w:pPr>
      <w:r>
        <w:rPr>
          <w:rFonts w:ascii="Malgun Gothic" w:cs="Malgun Gothic" w:eastAsia="Malgun Gothic" w:hAnsi="Malgun Gothic"/>
          <w:sz w:val="20"/>
          <w:szCs w:val="20"/>
        </w:rPr>
        <w:t xml:space="preserve">함축수익률은 지금 가격에 사서 가정대로 흘러갈 때 얻는 연 수익률입니다. 무위험수익률과 직접 비교하시면 됩니다. '안전마진 30% 이상인가'는 비싼 시장에서 거의 전부 '아니오'로 답이 끝나버리는 반면, 함축수익률은 종목 간 비교를 가능하게 합니다. 아래 표는 함축수익률 내림차순입니다.</w:t>
      </w:r>
    </w:p>
    <w:tbl>
      <w:tblPr>
        <w:tblW w:type="dxa" w:w="14400"/>
        <w:tblBorders>
          <w:top w:val="single" w:color="BFBFBF" w:sz="2"/>
          <w:left w:val="none"/>
          <w:bottom w:val="single" w:color="BFBFBF" w:sz="2"/>
          <w:right w:val="none"/>
          <w:insideH w:val="single" w:color="D9D9D9" w:sz="1"/>
          <w:insideV w:val="none"/>
        </w:tblBorders>
      </w:tblPr>
      <w:tblGrid>
        <w:gridCol w:w="1000"/>
        <w:gridCol w:w="1700"/>
        <w:gridCol w:w="1700"/>
        <w:gridCol w:w="1700"/>
        <w:gridCol w:w="1700"/>
        <w:gridCol w:w="1600"/>
        <w:gridCol w:w="1500"/>
        <w:gridCol w:w="1500"/>
        <w:gridCol w:w="20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상한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판정(하한)</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287</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2,402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1,361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1,989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3,758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613</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144</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1,507</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5,286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424</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214</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1,162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-0.2십억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-7.6십억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15349.8%</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1385.1%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119.2%</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116.6%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26.2x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29.1x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44.1%</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90.0%</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57.4%</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12.7x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알파벳 사례 — 모델 맹점 점검</w:t>
      </w:r>
    </w:p>
    <w:p>
      <w:pPr>
        <w:spacing w:after="120" w:line="276"/>
      </w:pPr>
      <w:r>
        <w:rPr>
          <w:rFonts w:ascii="Malgun Gothic" w:cs="Malgun Gothic" w:eastAsia="Malgun Gothic" w:hAnsi="Malgun Gothic"/>
          <w:sz w:val="20"/>
          <w:szCs w:val="20"/>
        </w:rPr>
        <w:t xml:space="preserve">이 절은 반례에서 출발합니다. 초판은 알파벳이 낙관 시나리오에서도 적정가치보다 비싸다고 판정했는데, 같은 기간 버크셔 해서웨이는 알파벳을 대규모로 매입했습니다. 둘 중 하나는 틀렸다는 뜻이므로 원인을 추적했고, 의견 차이가 아니라 모델의 실제 결함 세 가지가 나왔습니다.</w:t>
      </w:r>
    </w:p>
    <w:p>
      <w:pPr>
        <w:spacing w:after="100" w:before="240"/>
      </w:pPr>
      <w:r>
        <w:rPr>
          <w:rFonts w:ascii="Malgun Gothic" w:cs="Malgun Gothic" w:eastAsia="Malgun Gothic" w:hAnsi="Malgun Gothic"/>
          <w:b/>
          <w:bCs/>
          <w:sz w:val="20"/>
          <w:szCs w:val="20"/>
        </w:rPr>
        <w:t xml:space="preserve">사실 확인 — 버크셔의 알파벳 보유 (SEC 13F 원문)</w:t>
      </w:r>
    </w:p>
    <w:tbl>
      <w:tblPr>
        <w:tblW w:type="dxa" w:w="14400"/>
        <w:tblBorders>
          <w:top w:val="single" w:color="BFBFBF" w:sz="2"/>
          <w:left w:val="none"/>
          <w:bottom w:val="single" w:color="BFBFBF" w:sz="2"/>
          <w:right w:val="none"/>
          <w:insideH w:val="single" w:color="D9D9D9" w:sz="1"/>
          <w:insideV w:val="none"/>
        </w:tblBorders>
      </w:tblPr>
      <w:tblGrid>
        <w:gridCol w:w="2400"/>
        <w:gridCol w:w="2400"/>
        <w:gridCol w:w="5200"/>
        <w:gridCol w:w="44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13F 제출일</w:t>
            </w:r>
          </w:p>
        </w:tc>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시점</w:t>
            </w:r>
          </w:p>
        </w:tc>
        <w:tc>
          <w:tcPr>
            <w:tcW w:type="dxa" w:w="5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주식수</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평가액</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2025-11-14</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Q3 2025</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$4.34B — 신규 편입</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2026-02-17</w:t>
            </w:r>
          </w:p>
        </w:tc>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Q4 2025</w:t>
            </w:r>
          </w:p>
        </w:tc>
        <w:tc>
          <w:tcPr>
            <w:tcW w:type="dxa" w:w="5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$5.59B — 주식수 동일</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2026-05-15</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Q1 2026</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54,249,798주 (A) + 3,585,215주 (C)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$16.63B</w:t>
            </w:r>
          </w:p>
        </w:tc>
      </w:tr>
    </w:tbl>
    <w:p>
      <w:pPr>
        <w:spacing w:after="160" w:line="260"/>
      </w:pPr>
      <w:r>
        <w:rPr>
          <w:rFonts w:ascii="Malgun Gothic" w:cs="Malgun Gothic" w:eastAsia="Malgun Gothic" w:hAnsi="Malgun Gothic"/>
          <w:i/>
          <w:iCs/>
          <w:color w:val="595959"/>
          <w:sz w:val="18"/>
          <w:szCs w:val="18"/>
        </w:rPr>
        <w:t xml:space="preserve">출처: EDGAR CIK 0001067983, 접수번호 0001193125-25-282901 · 0001193125-26-054580 · 0001193125-26-226661. Q1 2026에 3배로 늘렸고 신고 포트폴리오(약 $263B)의 6% 수준입니다.</w:t>
      </w:r>
    </w:p>
    <w:p>
      <w:pPr>
        <w:spacing w:after="100" w:before="240"/>
      </w:pPr>
      <w:r>
        <w:rPr>
          <w:rFonts w:ascii="Malgun Gothic" w:cs="Malgun Gothic" w:eastAsia="Malgun Gothic" w:hAnsi="Malgun Gothic"/>
          <w:b/>
          <w:bCs/>
          <w:sz w:val="20"/>
          <w:szCs w:val="20"/>
        </w:rPr>
        <w:t xml:space="preserve">결함 1 — 성장 설비투자를 사업 악화로 계산했습니다 (가장 큼)</w:t>
      </w:r>
    </w:p>
    <w:p>
      <w:pPr>
        <w:spacing w:after="120" w:line="276"/>
      </w:pPr>
      <w:r>
        <w:rPr>
          <w:rFonts w:ascii="Malgun Gothic" w:cs="Malgun Gothic" w:eastAsia="Malgun Gothic" w:hAnsi="Malgun Gothic"/>
          <w:sz w:val="20"/>
          <w:szCs w:val="20"/>
        </w:rPr>
        <w:t xml:space="preserve">버핏의 주주이익 정의는 '장기 경쟁지위와 판매량을 유지하는 데 필요한' 자본적 지출을 빼라고 합니다. 유지 목적 지출이지 자본예산 전체가 아닙니다. 초판은 설비투자 전액을 차감했습니다. 알파벳 최근 회계연도는 설비투자 $91.4B에 감가상각 $21.1B로, 차액 $70B — 설비투자의 77%가 증설 투자입니다. 이걸 전액 비용으로 치면 AI 데이터센터를 짓는 행위가 수익성 악화로 기록됩니다.</w:t>
      </w:r>
    </w:p>
    <w:p>
      <w:pPr>
        <w:spacing w:after="120" w:line="276"/>
      </w:pPr>
      <w:r>
        <w:rPr>
          <w:rFonts w:ascii="Malgun Gothic" w:cs="Malgun Gothic" w:eastAsia="Malgun Gothic" w:hAnsi="Malgun Gothic"/>
          <w:sz w:val="20"/>
          <w:szCs w:val="20"/>
        </w:rPr>
        <w:t xml:space="preserve">이 결함은 알파벳만의 문제가 아니었습니다. 테슬라와 팔란티어는 '주주이익 음수'로 분류돼 밸류에이션 자체가 배제돼 있었는데, 성장 투자 때문이었지 사업이 나빠서가 아니었습니다. 유지 설비투자 기준으로는 음수인 기업이 하나도 없습니다.</w:t>
      </w:r>
    </w:p>
    <w:p>
      <w:pPr>
        <w:spacing w:after="100" w:before="240"/>
      </w:pPr>
      <w:r>
        <w:rPr>
          <w:rFonts w:ascii="Malgun Gothic" w:cs="Malgun Gothic" w:eastAsia="Malgun Gothic" w:hAnsi="Malgun Gothic"/>
          <w:b/>
          <w:bCs/>
          <w:sz w:val="20"/>
          <w:szCs w:val="20"/>
        </w:rPr>
        <w:t xml:space="preserve">결함 2 — 현금을 십억 단위로 잘못 봤습니다</w:t>
      </w:r>
    </w:p>
    <w:tbl>
      <w:tblPr>
        <w:tblW w:type="dxa" w:w="14400"/>
        <w:tblBorders>
          <w:top w:val="single" w:color="BFBFBF" w:sz="2"/>
          <w:left w:val="none"/>
          <w:bottom w:val="single" w:color="BFBFBF" w:sz="2"/>
          <w:right w:val="none"/>
          <w:insideH w:val="single" w:color="D9D9D9" w:sz="1"/>
          <w:insideV w:val="none"/>
        </w:tblBorders>
      </w:tblPr>
      <w:tblGrid>
        <w:gridCol w:w="4400"/>
        <w:gridCol w:w="5000"/>
        <w:gridCol w:w="5000"/>
      </w:tblGrid>
      <w:tr>
        <w:trPr>
          <w:tblHeader/>
        </w:trPr>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전</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후</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유동자산</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$30.7B</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$126.8B</w:t>
            </w:r>
          </w:p>
        </w:tc>
      </w:tr>
      <w:tr>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순현금</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−$18B</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+$78B</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ROIC (최근)</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r>
    </w:tbl>
    <w:p>
      <w:pPr>
        <w:spacing w:after="120" w:line="276"/>
      </w:pPr>
      <w:r>
        <w:rPr>
          <w:rFonts w:ascii="Malgun Gothic" w:cs="Malgun Gothic" w:eastAsia="Malgun Gothic" w:hAnsi="Malgun Gothic"/>
          <w:sz w:val="20"/>
          <w:szCs w:val="20"/>
        </w:rPr>
        <w:t xml:space="preserve">현금 태그 하나만 읽고 유동 유가증권 $96B를 통째로 놓치고 있었습니다. 그 결과 투하자본이 과대계상돼 ROIC가 낮게 나왔고 순현금 부호가 뒤집혀 있었습니다. 운전자본 계산에서도 유가증권이 빠지므로 주주이익이 더 정확해집니다.</w:t>
      </w:r>
    </w:p>
    <w:p>
      <w:pPr>
        <w:spacing w:after="100" w:before="240"/>
      </w:pPr>
      <w:r>
        <w:rPr>
          <w:rFonts w:ascii="Malgun Gothic" w:cs="Malgun Gothic" w:eastAsia="Malgun Gothic" w:hAnsi="Malgun Gothic"/>
          <w:b/>
          <w:bCs/>
          <w:sz w:val="20"/>
          <w:szCs w:val="20"/>
        </w:rPr>
        <w:t xml:space="preserve">결함 3 — 태그 전환으로 생긴 연도 구멍</w:t>
      </w:r>
    </w:p>
    <w:p>
      <w:pPr>
        <w:spacing w:after="120" w:line="276"/>
      </w:pPr>
      <w:r>
        <w:rPr>
          <w:rFonts w:ascii="Malgun Gothic" w:cs="Malgun Gothic" w:eastAsia="Malgun Gothic" w:hAnsi="Malgun Gothic"/>
          <w:sz w:val="20"/>
          <w:szCs w:val="20"/>
        </w:rPr>
        <w:t xml:space="preserve">알파벳은 매출 태그를 중간에 바꿔서 어느 한 태그도 10년을 온전히 덮지 못했고, FY2022 매출이 비어 있었습니다. 이제 두 태그가 겹치는 모든 연도에서 값이 정확히 일치할 때만(알파벳은 8개 연도 일치) 빈 연도를 메웁니다. 값이 하나라도 다르면 서로 다른 개념이므로 구멍을 그대로 둡니다.</w:t>
      </w:r>
    </w:p>
    <w:p>
      <w:pPr>
        <w:spacing w:after="100" w:before="240"/>
      </w:pPr>
      <w:r>
        <w:rPr>
          <w:rFonts w:ascii="Malgun Gothic" w:cs="Malgun Gothic" w:eastAsia="Malgun Gothic" w:hAnsi="Malgun Gothic"/>
          <w:b/>
          <w:bCs/>
          <w:sz w:val="20"/>
          <w:szCs w:val="20"/>
        </w:rPr>
        <w:t xml:space="preserve">남는 것은 판단 차이입니다</w:t>
      </w:r>
    </w:p>
    <w:tbl>
      <w:tblPr>
        <w:tblW w:type="dxa" w:w="14400"/>
        <w:tblBorders>
          <w:top w:val="single" w:color="BFBFBF" w:sz="2"/>
          <w:left w:val="none"/>
          <w:bottom w:val="single" w:color="BFBFBF" w:sz="2"/>
          <w:right w:val="none"/>
          <w:insideH w:val="single" w:color="D9D9D9" w:sz="1"/>
          <w:insideV w:val="none"/>
        </w:tblBorders>
      </w:tblPr>
      <w:tblGrid>
        <w:gridCol w:w="2400"/>
        <w:gridCol w:w="4200"/>
        <w:gridCol w:w="4200"/>
        <w:gridCol w:w="36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시나리오</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하한(총 설비투자)</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상한(유지 설비투자)</w:t>
            </w:r>
          </w:p>
        </w:tc>
        <w:tc>
          <w:tcPr>
            <w:tcW w:type="dxa" w:w="3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 범위</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보수</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1,134</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1,645</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-280% ~ -162%</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기준</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1,655</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2,402</w:t>
            </w:r>
          </w:p>
        </w:tc>
        <w:tc>
          <w:tcPr>
            <w:tcW w:type="dxa" w:w="3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 ~ -79%</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낙관</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3,704</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5,374</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 ~ 20%</w:t>
            </w:r>
          </w:p>
        </w:tc>
      </w:tr>
    </w:tbl>
    <w:p>
      <w:pPr>
        <w:spacing w:after="120" w:line="276"/>
      </w:pPr>
      <w:r>
        <w:rPr>
          <w:rFonts w:ascii="Malgun Gothic" w:cs="Malgun Gothic" w:eastAsia="Malgun Gothic" w:hAnsi="Malgun Gothic"/>
          <w:sz w:val="20"/>
          <w:szCs w:val="20"/>
        </w:rPr>
        <w:t xml:space="preserve">시가총액 $4,305B 기준입니다. 낙관 시나리오에 유지 설비투자를 적용하면 안전마진이 20%로 플러스가 되고, 순현금 $78B를 더하면 투자가능 기준선인 30%에 닿습니다. 다만 이건 낙관 가정과 유지 설비투자 가정을 동시에 채택한 결과이므로, 기준 시나리오가 여전히 비싸다는 사실을 덮지는 않습니다.</w:t>
      </w:r>
    </w:p>
    <w:p>
      <w:pPr>
        <w:spacing w:after="100" w:before="240"/>
      </w:pPr>
      <w:r>
        <w:rPr>
          <w:rFonts w:ascii="Malgun Gothic" w:cs="Malgun Gothic" w:eastAsia="Malgun Gothic" w:hAnsi="Malgun Gothic"/>
          <w:b/>
          <w:bCs/>
          <w:sz w:val="20"/>
          <w:szCs w:val="20"/>
        </w:rPr>
        <w:t xml:space="preserve">버크셔가 본 것에 대한 추정</w:t>
      </w:r>
    </w:p>
    <w:tbl>
      <w:tblPr>
        <w:tblW w:type="dxa" w:w="14400"/>
        <w:tblBorders>
          <w:top w:val="single" w:color="BFBFBF" w:sz="2"/>
          <w:left w:val="none"/>
          <w:bottom w:val="single" w:color="BFBFBF" w:sz="2"/>
          <w:right w:val="none"/>
          <w:insideH w:val="single" w:color="D9D9D9" w:sz="1"/>
          <w:insideV w:val="none"/>
        </w:tblBorders>
      </w:tblPr>
      <w:tblGrid>
        <w:gridCol w:w="2400"/>
        <w:gridCol w:w="4000"/>
        <w:gridCol w:w="4000"/>
        <w:gridCol w:w="40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순현금($B)</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 ←</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r>
    </w:tbl>
    <w:p>
      <w:pPr>
        <w:spacing w:after="120" w:line="276"/>
      </w:pPr>
      <w:r>
        <w:rPr>
          <w:rFonts w:ascii="Malgun Gothic" w:cs="Malgun Gothic" w:eastAsia="Malgun Gothic" w:hAnsi="Malgun Gothic"/>
          <w:sz w:val="20"/>
          <w:szCs w:val="20"/>
        </w:rPr>
        <w:t xml:space="preserve">알파벳은 함축수익률 자체로는 상위권이되 1위가 아닙니다. 눈에 띄는 건 조합입니다. 위에 있는 종목들은 대부분 품질이 낮거나 순부채 상태인데, 알파벳은 ROIC 중앙값이 높고 오랫동안 두 자릿수를 지켰으며 목록에서 가장 큰 순현금을 들고 있습니다. 그리고 버크셔의 대안은 4.7% 단기국채입니다. 이 프레임워크의 '안전마진 30%' 문턱은 절대 기준이라 비싼 시장에서는 모든 종목에 '아니오'를 돌려주고 대화를 끝내버리지만, 실제 자본배분은 언제나 상대적입니다.</w:t>
      </w:r>
    </w:p>
    <w:p>
      <w:pPr>
        <w:spacing w:after="160" w:line="260"/>
      </w:pPr>
      <w:r>
        <w:rPr>
          <w:rFonts w:ascii="Malgun Gothic" w:cs="Malgun Gothic" w:eastAsia="Malgun Gothic" w:hAnsi="Malgun Gothic"/>
          <w:i/>
          <w:iCs/>
          <w:color w:val="595959"/>
          <w:sz w:val="18"/>
          <w:szCs w:val="18"/>
        </w:rPr>
        <w:t xml:space="preserve">단서 두 가지. 첫째, 13F는 보유만 공시하고 매수 이유를 밝히지 않으므로 위 해석은 추정입니다. 둘째, 이 판단이 버핏 본인의 것인지 투자 담당이나 후임 경영진의 것인지는 공시로 알 수 없습니다.</w:t>
      </w:r>
    </w:p>
    <w:p>
      <w:pPr>
        <w:spacing w:after="100" w:before="240"/>
      </w:pPr>
      <w:r>
        <w:rPr>
          <w:rFonts w:ascii="Malgun Gothic" w:cs="Malgun Gothic" w:eastAsia="Malgun Gothic" w:hAnsi="Malgun Gothic"/>
          <w:b/>
          <w:bCs/>
          <w:sz w:val="20"/>
          <w:szCs w:val="20"/>
        </w:rPr>
        <w:t xml:space="preserve">이 사례가 남긴 구조적 한계</w:t>
      </w:r>
    </w:p>
    <w:p>
      <w:pPr>
        <w:pStyle w:val="ListParagraph"/>
        <w:numPr>
          <w:ilvl w:val="0"/>
          <w:numId w:val="2"/>
        </w:numPr>
        <w:spacing w:after="100" w:line="276"/>
      </w:pPr>
      <w:r>
        <w:rPr>
          <w:rFonts w:ascii="Malgun Gothic" w:cs="Malgun Gothic" w:eastAsia="Malgun Gothic" w:hAnsi="Malgun Gothic"/>
          <w:b/>
          <w:bCs/>
          <w:sz w:val="20"/>
          <w:szCs w:val="20"/>
        </w:rPr>
        <w:t xml:space="preserve">과거만 봅니다. </w:t>
      </w:r>
      <w:r>
        <w:rPr>
          <w:rFonts w:ascii="Malgun Gothic" w:cs="Malgun Gothic" w:eastAsia="Malgun Gothic" w:hAnsi="Malgun Gothic"/>
          <w:sz w:val="20"/>
          <w:szCs w:val="20"/>
        </w:rPr>
        <w:t xml:space="preserve">성장률은 과거 주주이익 CAGR에서 나오고 상한이 걸립니다. 사업이 변곡점에 있다면 과거 시계열에는 그 정보가 없습니다.</w:t>
      </w:r>
    </w:p>
    <w:p>
      <w:pPr>
        <w:pStyle w:val="ListParagraph"/>
        <w:numPr>
          <w:ilvl w:val="0"/>
          <w:numId w:val="2"/>
        </w:numPr>
        <w:spacing w:after="100" w:line="276"/>
      </w:pPr>
      <w:r>
        <w:rPr>
          <w:rFonts w:ascii="Malgun Gothic" w:cs="Malgun Gothic" w:eastAsia="Malgun Gothic" w:hAnsi="Malgun Gothic"/>
          <w:b/>
          <w:bCs/>
          <w:sz w:val="20"/>
          <w:szCs w:val="20"/>
        </w:rPr>
        <w:t xml:space="preserve">비영업 자산을 값으로 치지 않습니다. </w:t>
      </w:r>
      <w:r>
        <w:rPr>
          <w:rFonts w:ascii="Malgun Gothic" w:cs="Malgun Gothic" w:eastAsia="Malgun Gothic" w:hAnsi="Malgun Gothic"/>
          <w:sz w:val="20"/>
          <w:szCs w:val="20"/>
        </w:rPr>
        <w:t xml:space="preserve">웨이모 같은 사업, 지분투자, 순현금은 이익 흐름에만 근거한 DCF에 들어오지 않습니다. 순현금은 별도 열로 표시만 했습니다.</w:t>
      </w:r>
    </w:p>
    <w:p>
      <w:pPr>
        <w:pStyle w:val="ListParagraph"/>
        <w:numPr>
          <w:ilvl w:val="0"/>
          <w:numId w:val="2"/>
        </w:numPr>
        <w:spacing w:after="100" w:line="276"/>
      </w:pPr>
      <w:r>
        <w:rPr>
          <w:rFonts w:ascii="Malgun Gothic" w:cs="Malgun Gothic" w:eastAsia="Malgun Gothic" w:hAnsi="Malgun Gothic"/>
          <w:b/>
          <w:bCs/>
          <w:sz w:val="20"/>
          <w:szCs w:val="20"/>
        </w:rPr>
        <w:t xml:space="preserve">할인율이 고정입니다. </w:t>
      </w:r>
      <w:r>
        <w:rPr>
          <w:rFonts w:ascii="Malgun Gothic" w:cs="Malgun Gothic" w:eastAsia="Malgun Gothic" w:hAnsi="Malgun Gothic"/>
          <w:sz w:val="20"/>
          <w:szCs w:val="20"/>
        </w:rPr>
        <w:t xml:space="preserve">8·10·12%는 대안 수익률과 무관하게 고정돼 있습니다. 무위험수익률이 4.7%인 국면에서 10%를 요구하는 것은 상당히 높은 문턱입니다.</w:t>
      </w:r>
    </w:p>
    <w:p>
      <w:pPr>
        <w:pStyle w:val="ListParagraph"/>
        <w:numPr>
          <w:ilvl w:val="0"/>
          <w:numId w:val="2"/>
        </w:numPr>
        <w:spacing w:after="100" w:line="276"/>
      </w:pPr>
      <w:r>
        <w:rPr>
          <w:rFonts w:ascii="Malgun Gothic" w:cs="Malgun Gothic" w:eastAsia="Malgun Gothic" w:hAnsi="Malgun Gothic"/>
          <w:b/>
          <w:bCs/>
          <w:sz w:val="20"/>
          <w:szCs w:val="20"/>
        </w:rPr>
        <w:t xml:space="preserve">절대 기준이라 상대 비교를 못 합니다. </w:t>
      </w:r>
      <w:r>
        <w:rPr>
          <w:rFonts w:ascii="Malgun Gothic" w:cs="Malgun Gothic" w:eastAsia="Malgun Gothic" w:hAnsi="Malgun Gothic"/>
          <w:sz w:val="20"/>
          <w:szCs w:val="20"/>
        </w:rPr>
        <w:t xml:space="preserve">포지션 규모나 기회비용은 이 프레임워크 밖의 문제입니다. 함축수익률 열을 넣은 것이 부분적인 보완입니다.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8.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2026-08-29T07:08:18.984Z</dcterms:created>
  <dcterms:modified xsi:type="dcterms:W3CDTF">2026-08-29T07:08:18.985Z</dcterms:modified>
</cp:coreProperties>
</file>

<file path=docProps/custom.xml><?xml version="1.0" encoding="utf-8"?>
<Properties xmlns="http://schemas.openxmlformats.org/officeDocument/2006/custom-properties" xmlns:vt="http://schemas.openxmlformats.org/officeDocument/2006/docPropsVTypes"/>
</file>