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color w:val="1F3864"/>
          <w:sz w:val="36"/>
          <w:szCs w:val="36"/>
        </w:rPr>
        <w:t xml:space="preserve">알파벳 심층분석 및 메모 회신</w:t>
      </w:r>
    </w:p>
    <w:p>
      <w:pPr>
        <w:pBdr>
          <w:bottom w:val="single" w:color="1F3864" w:sz="8" w:space="8"/>
        </w:pBdr>
        <w:spacing w:after="320"/>
      </w:pPr>
      <w:r>
        <w:rPr>
          <w:rFonts w:ascii="Malgun Gothic" w:cs="Malgun Gothic" w:eastAsia="Malgun Gothic" w:hAnsi="Malgun Gothic"/>
          <w:color w:val="595959"/>
          <w:sz w:val="18"/>
          <w:szCs w:val="18"/>
        </w:rPr>
        <w:t xml:space="preserve">메모 5건 회신 · 버핏 기준 정립 · 알파벳 가치와 주가 평가 · 생성 2026-08-29</w:t>
      </w:r>
    </w:p>
    <w:p>
      <w:pPr>
        <w:pStyle w:val="Heading1"/>
        <w:spacing w:after="160" w:before="400"/>
      </w:pPr>
      <w:r>
        <w:rPr>
          <w:rFonts w:ascii="Malgun Gothic" w:cs="Malgun Gothic" w:eastAsia="Malgun Gothic" w:hAnsi="Malgun Gothic"/>
          <w:b/>
          <w:bCs/>
          <w:color w:val="1F3864"/>
          <w:sz w:val="28"/>
          <w:szCs w:val="28"/>
        </w:rPr>
        <w:t xml:space="preserve">1부. 메모 5건에 대한 회신</w:t>
      </w:r>
    </w:p>
    <w:p>
      <w:pPr>
        <w:spacing w:after="140" w:line="288"/>
      </w:pPr>
      <w:r>
        <w:rPr>
          <w:rFonts w:ascii="Malgun Gothic" w:cs="Malgun Gothic" w:eastAsia="Malgun Gothic" w:hAnsi="Malgun Gothic"/>
          <w:sz w:val="19"/>
          <w:szCs w:val="19"/>
        </w:rPr>
        <w:t xml:space="preserve">워드 파일 메모에 남겨주신 다섯 가지를 순서대로 답변합니다. 답변 과정에서 모델 자체의 오류 두 건을 발견해 고쳤고, 그 내용은 4부에 따로 정리했습니다. 아래 수치는 모두 교정 후 기준입니다.</w:t>
      </w:r>
    </w:p>
    <w:p>
      <w:pPr>
        <w:pStyle w:val="Heading2"/>
        <w:spacing w:after="60" w:before="400"/>
      </w:pPr>
      <w:r>
        <w:rPr>
          <w:rFonts w:ascii="Malgun Gothic" w:cs="Malgun Gothic" w:eastAsia="Malgun Gothic" w:hAnsi="Malgun Gothic"/>
          <w:b/>
          <w:bCs/>
          <w:color w:val="1F3864"/>
          <w:sz w:val="23"/>
          <w:szCs w:val="23"/>
        </w:rPr>
        <w:t xml:space="preserve">메모 1 — "유지"</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두자릿수 유지가 말하는 게 뭐야?</w:t>
      </w:r>
    </w:p>
    <w:p>
      <w:pPr>
        <w:spacing w:after="140" w:line="288"/>
      </w:pPr>
      <w:r>
        <w:rPr>
          <w:rFonts w:ascii="Malgun Gothic" w:cs="Malgun Gothic" w:eastAsia="Malgun Gothic" w:hAnsi="Malgun Gothic"/>
          <w:sz w:val="19"/>
          <w:szCs w:val="19"/>
        </w:rPr>
        <w:t xml:space="preserve">품질 순위표의 '두자릿수 유지' 열은 </w:t>
      </w:r>
      <w:r>
        <w:rPr>
          <w:rFonts w:ascii="Malgun Gothic" w:cs="Malgun Gothic" w:eastAsia="Malgun Gothic" w:hAnsi="Malgun Gothic"/>
          <w:b/>
          <w:bCs/>
          <w:sz w:val="19"/>
          <w:szCs w:val="19"/>
        </w:rPr>
        <w:t xml:space="preserve">ROIC가 10% 이상이었던 회계연도의 수 / 관측 가능한 총 회계연도의 수</w:t>
      </w:r>
      <w:r>
        <w:rPr>
          <w:rFonts w:ascii="Malgun Gothic" w:cs="Malgun Gothic" w:eastAsia="Malgun Gothic" w:hAnsi="Malgun Gothic"/>
          <w:sz w:val="19"/>
          <w:szCs w:val="19"/>
        </w:rPr>
        <w:t xml:space="preserve">입니다. 알파벳은 12/12이므로, 데이터가 있는 12개 연도 전부에서 ROIC가 10%를 넘었다는 뜻입니다.</w:t>
      </w:r>
    </w:p>
    <w:p>
      <w:pPr>
        <w:spacing w:after="140" w:line="288"/>
      </w:pPr>
      <w:r>
        <w:rPr>
          <w:rFonts w:ascii="Malgun Gothic" w:cs="Malgun Gothic" w:eastAsia="Malgun Gothic" w:hAnsi="Malgun Gothic"/>
          <w:sz w:val="19"/>
          <w:szCs w:val="19"/>
        </w:rPr>
        <w:t xml:space="preserve">왜 평균이나 중앙값 말고 '몇 년이나 지켰는가'를 따로 세는지가 이 열의 핵심입니다. 중앙값은 높은데 어떤 해에는 3%, 어떤 해에는 60%인 회사와, 매년 25% 언저리를 찍는 회사는 같은 사업이 아닙니다. 버핏이 2007년 서한에서 해자를 정의하며 쓴 단어가 '지속적인(enduring)'이었습니다.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"진정으로 위대한 기업은 탁월한 투하자본이익률을 지켜주는 '지속적인 해자'를 반드시 가지고 있어야 한다. 자본주의의 생리상 경쟁자들은 높은 수익을 내는 사업의 성채를 반복해서 공격하기 때문이다. (…) 우리가 '지속적'이라는 기준을 두는 탓에 빠르고 연속적인 변화를 겪는 산업의 기업들은 후보에서 제외된다."</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spacing w:after="140" w:line="288"/>
      </w:pPr>
      <w:r>
        <w:rPr>
          <w:rFonts w:ascii="Malgun Gothic" w:cs="Malgun Gothic" w:eastAsia="Malgun Gothic" w:hAnsi="Malgun Gothic"/>
          <w:sz w:val="19"/>
          <w:szCs w:val="19"/>
        </w:rPr>
        <w:t xml:space="preserve">한 해의 높은 ROIC는 우연일 수 있지만, 10년 넘게 유지된 ROIC는 해자의 증거입니다. 그래서 이 열은 품질 점수 100점 중 20점을 차지하며, ROIC 중앙값(25점) 다음으로 비중이 큽니다. 10%라는 문턱은 자본비용의 대략적인 하한선입니다 — 이 분석의 50개사 WACC 중앙값이 8~10% 구간에 있어서, 10%를 넘지 못한 해는 사업이 자본비용을 벌지 못한 해로 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주의: 분모가 회사마다 다릅니다. 알파벳은 12년, 팔란티어·GE버노바는 3년입니다. '3/3'과 '12/12'는 같은 100%가 아니라서, 관측 연수가 5년 미만인 기업은 감사 리포트에 별도로 표시해 두었습니다.</w:t>
      </w:r>
    </w:p>
    <w:p>
      <w:pPr>
        <w:pStyle w:val="Heading2"/>
        <w:spacing w:after="60" w:before="400"/>
      </w:pPr>
      <w:r>
        <w:rPr>
          <w:rFonts w:ascii="Malgun Gothic" w:cs="Malgun Gothic" w:eastAsia="Malgun Gothic" w:hAnsi="Malgun Gothic"/>
          <w:b/>
          <w:bCs/>
          <w:color w:val="1F3864"/>
          <w:sz w:val="23"/>
          <w:szCs w:val="23"/>
        </w:rPr>
        <w:t xml:space="preserve">메모 2 — "ROIC"</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ROIC 중앙값과 신규 ROIC의 의미는 정확히 무엇이고 이 둘이 어떻게 달라?</w:t>
      </w:r>
    </w:p>
    <w:p>
      <w:pPr>
        <w:spacing w:after="140" w:line="288"/>
      </w:pPr>
      <w:r>
        <w:rPr>
          <w:rFonts w:ascii="Malgun Gothic" w:cs="Malgun Gothic" w:eastAsia="Malgun Gothic" w:hAnsi="Malgun Gothic"/>
          <w:b/>
          <w:bCs/>
          <w:sz w:val="19"/>
          <w:szCs w:val="19"/>
        </w:rPr>
        <w:t xml:space="preserve">둘은 '이미 굴리고 있는 자본'과 '새로 넣는 자본'을 각각 채점합니다.</w:t>
      </w:r>
      <w:r>
        <w:rPr>
          <w:rFonts w:ascii="Malgun Gothic" w:cs="Malgun Gothic" w:eastAsia="Malgun Gothic" w:hAnsi="Malgun Gothic"/>
          <w:sz w:val="19"/>
          <w:szCs w:val="19"/>
        </w:rPr>
        <w:t xml:space="preserve"> 같은 회사에서 두 값이 크게 벌어지는 일이 흔하고, 벌어지는 방향이 바로 투자 판단의 핵심입니다.</w:t>
      </w:r>
    </w:p>
    <w:tbl>
      <w:tblPr>
        <w:tblW w:type="dxa" w:w="9360"/>
        <w:tblBorders>
          <w:top w:val="single" w:color="BFBFBF" w:sz="2"/>
          <w:left w:val="none"/>
          <w:bottom w:val="single" w:color="BFBFBF" w:sz="2"/>
          <w:right w:val="none"/>
          <w:insideH w:val="single" w:color="D9D9D9" w:sz="1"/>
          <w:insideV w:val="none"/>
        </w:tblBorders>
      </w:tblPr>
      <w:tblGrid>
        <w:gridCol w:w="1235"/>
        <w:gridCol w:w="3835"/>
        <w:gridCol w:w="4290"/>
      </w:tblGrid>
      <w:tr>
        <w:trPr>
          <w:tblHeader/>
        </w:trPr>
        <w:tc>
          <w:tcPr>
            <w:tcW w:type="dxa" w:w="123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
            </w:r>
          </w:p>
        </w:tc>
        <w:tc>
          <w:tcPr>
            <w:tcW w:type="dxa" w:w="383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ROIC 중앙값 (기존)</w:t>
            </w:r>
          </w:p>
        </w:tc>
        <w:tc>
          <w:tcPr>
            <w:tcW w:type="dxa" w:w="42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 (증분)</w:t>
            </w:r>
          </w:p>
        </w:tc>
      </w:tr>
      <w:tr>
        <w:tc>
          <w:tcPr>
            <w:tcW w:type="dxa" w:w="12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묻는 것</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지금까지 쌓아온 자본 전체가 매년 얼마를 버는가</w:t>
            </w:r>
          </w:p>
        </w:tc>
        <w:tc>
          <w:tcPr>
            <w:tcW w:type="dxa" w:w="42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기간 중 새로 투입한 자본 1달러가 얼마를 더 벌어왔는가</w:t>
            </w:r>
          </w:p>
        </w:tc>
      </w:tr>
      <w:tr>
        <w:tc>
          <w:tcPr>
            <w:tcW w:type="dxa" w:w="12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계산</w:t>
            </w:r>
          </w:p>
        </w:tc>
        <w:tc>
          <w:tcPr>
            <w:tcW w:type="dxa" w:w="38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각 연도 ROIC = NOPAT ÷ 투하자본(평균), 그 값들의 중앙값</w:t>
            </w:r>
          </w:p>
        </w:tc>
        <w:tc>
          <w:tcPr>
            <w:tcW w:type="dxa" w:w="42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(기말 NOPAT − 기초 NOPAT) ÷ (기말 투하자본 − 기초 투하자본)</w:t>
            </w:r>
          </w:p>
        </w:tc>
      </w:tr>
      <w:tr>
        <w:tc>
          <w:tcPr>
            <w:tcW w:type="dxa" w:w="12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보는 시점</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과거의 축적된 결과 (수준)</w:t>
            </w:r>
          </w:p>
        </w:tc>
        <w:tc>
          <w:tcPr>
            <w:tcW w:type="dxa" w:w="42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미래 재투자의 예고편 (변화율)</w:t>
            </w:r>
          </w:p>
        </w:tc>
      </w:tr>
      <w:tr>
        <w:tc>
          <w:tcPr>
            <w:tcW w:type="dxa" w:w="12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w:t>
            </w:r>
          </w:p>
        </w:tc>
        <w:tc>
          <w:tcPr>
            <w:tcW w:type="dxa" w:w="38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37.1% (FY2014~2025 중앙값)</w:t>
            </w:r>
          </w:p>
        </w:tc>
        <w:tc>
          <w:tcPr>
            <w:tcW w:type="dxa" w:w="42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31.9% (FY2014→FY2025)</w:t>
            </w:r>
          </w:p>
        </w:tc>
      </w:tr>
    </w:tbl>
    <w:p>
      <w:pPr>
        <w:spacing w:after="200"/>
      </w:pPr>
    </w:p>
    <w:p>
      <w:pPr>
        <w:spacing w:after="140" w:line="288"/>
      </w:pPr>
      <w:r>
        <w:rPr>
          <w:rFonts w:ascii="Malgun Gothic" w:cs="Malgun Gothic" w:eastAsia="Malgun Gothic" w:hAnsi="Malgun Gothic"/>
          <w:sz w:val="19"/>
          <w:szCs w:val="19"/>
        </w:rPr>
        <w:t xml:space="preserve">숫자로 보면 이렇습니다. 알파벳의 투하자본은 FY2014 $41B에서 FY2025 $338B로 늘었고, 그 사이 NOPAT은 $13B에서 $107B로 늘었습니다. 늘어난 자본 $296B가 늘어난 이익 $94B를 만들었으니 신규 ROIC는 31.9%입니다.</w:t>
      </w:r>
    </w:p>
    <w:p>
      <w:pPr>
        <w:spacing w:after="140" w:line="288"/>
      </w:pPr>
      <w:r>
        <w:rPr>
          <w:rFonts w:ascii="Malgun Gothic" w:cs="Malgun Gothic" w:eastAsia="Malgun Gothic" w:hAnsi="Malgun Gothic"/>
          <w:b/>
          <w:bCs/>
          <w:sz w:val="19"/>
          <w:szCs w:val="19"/>
        </w:rPr>
        <w:t xml:space="preserve">왜 둘 다 봐야 하는가.</w:t>
      </w:r>
      <w:r>
        <w:rPr>
          <w:rFonts w:ascii="Malgun Gothic" w:cs="Malgun Gothic" w:eastAsia="Malgun Gothic" w:hAnsi="Malgun Gothic"/>
          <w:sz w:val="19"/>
          <w:szCs w:val="19"/>
        </w:rPr>
        <w:t xml:space="preserve"> 기존 ROIC만 높고 신규 ROIC가 자본비용 아래면, 그 회사는 돈을 벌지만 그 돈을 재투자할 곳이 없다는 뜻입니다. 이 경우 벌어들인 현금은 배당·자사주로 돌려주는 것이 주주에게 이롭고, 회사를 성장주로 값을 매기면 안 됩니다. 반대로 둘 다 높으면 이익을 재투자할수록 가치가 복리로 커지므로, 배당하지 않는 것이 오히려 정답입니다. 버핏이 1992년 서한에서 성장과 가치를 갈라놓은 지점이 정확히 여기입니다.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"성장은 그 사업이 매력적인 증분 수익률로 투자할 수 있을 때만 투자자에게 이롭다. 다시 말해, 성장에 쓰인 1달러가 장기적으로 1달러가 넘는 시장가치를 만들어낼 때만 그렇다. 자본을 더 필요로 하는 저수익 사업에서는 성장이 투자자를 해친다. (…) 가격 문제를 제쳐두면, 소유하기 가장 좋은 사업은 오랜 기간에 걸쳐 많은 양의 증분 자본을 아주 높은 수익률로 투입할 수 있는 사업이다."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spacing w:after="140" w:line="288"/>
      </w:pPr>
      <w:r>
        <w:rPr>
          <w:rFonts w:ascii="Malgun Gothic" w:cs="Malgun Gothic" w:eastAsia="Malgun Gothic" w:hAnsi="Malgun Gothic"/>
          <w:sz w:val="19"/>
          <w:szCs w:val="19"/>
        </w:rPr>
        <w:t xml:space="preserve">알파벳의 경우 기존 37.1% · 신규 31.9%로 둘 다 WACC (10.0%)의 3배를 넘습니다. 다만 </w:t>
      </w:r>
      <w:r>
        <w:rPr>
          <w:rFonts w:ascii="Malgun Gothic" w:cs="Malgun Gothic" w:eastAsia="Malgun Gothic" w:hAnsi="Malgun Gothic"/>
          <w:b/>
          <w:bCs/>
          <w:sz w:val="19"/>
          <w:szCs w:val="19"/>
        </w:rPr>
        <w:t xml:space="preserve">측정 구간을 AI 설비투자 시기로 좁히면 그림이 달라지고</w:t>
      </w:r>
      <w:r>
        <w:rPr>
          <w:rFonts w:ascii="Malgun Gothic" w:cs="Malgun Gothic" w:eastAsia="Malgun Gothic" w:hAnsi="Malgun Gothic"/>
          <w:sz w:val="19"/>
          <w:szCs w:val="19"/>
        </w:rPr>
        <w:t xml:space="preserve">, 그것이 메모 4의 질문과 직결되므로 3부 「기준 4」에서 따로 다룹니다.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계산상 주의 한 가지. 신규 ROIC는 양 끝점 두 해만 쓰기 때문에, 어느 한 해가 이상치면 값이 통째로 흔들립니다. 애플과 오라클의 신규 ROIC가 0.0%로 찍힌 것은 사업이 나빠서가 아니라 자사주 매입으로 투하자본이 줄어 분모가 음수가 되었기 때문이며, 이런 경우는 점수에서 제외합니다.</w:t>
      </w:r>
    </w:p>
    <w:p>
      <w:pPr>
        <w:pStyle w:val="Heading2"/>
        <w:spacing w:after="60" w:before="400"/>
      </w:pPr>
      <w:r>
        <w:rPr>
          <w:rFonts w:ascii="Malgun Gothic" w:cs="Malgun Gothic" w:eastAsia="Malgun Gothic" w:hAnsi="Malgun Gothic"/>
          <w:b/>
          <w:bCs/>
          <w:color w:val="1F3864"/>
          <w:sz w:val="23"/>
          <w:szCs w:val="23"/>
        </w:rPr>
        <w:t xml:space="preserve">메모 3 — "원칙 2 — ROE의 함정"</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알파벳(구글)의 ROE의 함정은 어떤지 분석해줘</w:t>
      </w:r>
    </w:p>
    <w:p>
      <w:pPr>
        <w:spacing w:after="140" w:line="288"/>
      </w:pPr>
      <w:r>
        <w:rPr>
          <w:rFonts w:ascii="Malgun Gothic" w:cs="Malgun Gothic" w:eastAsia="Malgun Gothic" w:hAnsi="Malgun Gothic"/>
          <w:b/>
          <w:bCs/>
          <w:sz w:val="19"/>
          <w:szCs w:val="19"/>
        </w:rPr>
        <w:t xml:space="preserve">결론부터: 알파벳에는 ROE의 함정이 없습니다. 오히려 반대 방향의 왜곡이 있고, 그 왜곡의 크기가 순현금 $78B입니다.</w:t>
      </w:r>
    </w:p>
    <w:p>
      <w:pPr>
        <w:spacing w:after="140" w:line="288"/>
      </w:pPr>
      <w:r>
        <w:rPr>
          <w:rFonts w:ascii="Malgun Gothic" w:cs="Malgun Gothic" w:eastAsia="Malgun Gothic" w:hAnsi="Malgun Gothic"/>
          <w:sz w:val="19"/>
          <w:szCs w:val="19"/>
        </w:rPr>
        <w:t xml:space="preserve">ROE의 함정은 '분모인 자기자본을 부채로 줄여서 수익률을 높게 보이게 하는 것'입니다. 같은 영업이익이라도 자기자본 100에 부채 0인 회사보다 자기자본 20에 부채 80인 회사의 ROE가 5배 높게 찍힙니다. 사업의 질은 그대로인데 숫자만 좋아지므로, ROE가 높다는 이유로 우량기업이라 판단하면 실제로는 레버리지를 산 셈이 됩니다. 이 분석에서 ROE−ROIC 스프레드를 따로 계산하는 이유입니다.</w:t>
      </w:r>
    </w:p>
    <w:tbl>
      <w:tblPr>
        <w:tblW w:type="dxa" w:w="9360"/>
        <w:tblBorders>
          <w:top w:val="single" w:color="BFBFBF" w:sz="2"/>
          <w:left w:val="none"/>
          <w:bottom w:val="single" w:color="BFBFBF" w:sz="2"/>
          <w:right w:val="none"/>
          <w:insideH w:val="single" w:color="D9D9D9" w:sz="1"/>
          <w:insideV w:val="none"/>
        </w:tblBorders>
      </w:tblPr>
      <w:tblGrid>
        <w:gridCol w:w="2730"/>
        <w:gridCol w:w="2080"/>
        <w:gridCol w:w="4550"/>
      </w:tblGrid>
      <w:tr>
        <w:trPr>
          <w:tblHeader/>
        </w:trPr>
        <w:tc>
          <w:tcPr>
            <w:tcW w:type="dxa" w:w="27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20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알파벳 FY2025</w:t>
            </w:r>
          </w:p>
        </w:tc>
        <w:tc>
          <w:tcPr>
            <w:tcW w:type="dxa" w:w="45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읽는 법</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ROE (보고 순이익 기준)</w:t>
            </w:r>
          </w:p>
        </w:tc>
        <w:tc>
          <w:tcPr>
            <w:tcW w:type="dxa" w:w="208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35.7%</w:t>
            </w:r>
          </w:p>
        </w:tc>
        <w:tc>
          <w:tcPr>
            <w:tcW w:type="dxa" w:w="45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분자에 투자평가익이 섞여 있음</w:t>
            </w:r>
          </w:p>
        </w:tc>
      </w:tr>
      <w:tr>
        <w:tc>
          <w:tcPr>
            <w:tcW w:type="dxa" w:w="273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ROE (영업 순이익 기준)</w:t>
            </w:r>
          </w:p>
        </w:tc>
        <w:tc>
          <w:tcPr>
            <w:tcW w:type="dxa" w:w="208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30.2%</w:t>
            </w:r>
          </w:p>
        </w:tc>
        <w:tc>
          <w:tcPr>
            <w:tcW w:type="dxa" w:w="45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투자평가익 세후 제거 후</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w:t>
            </w:r>
          </w:p>
        </w:tc>
        <w:tc>
          <w:tcPr>
            <w:tcW w:type="dxa" w:w="208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45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사업에 실제로 투입된 자본 기준</w:t>
            </w:r>
          </w:p>
        </w:tc>
      </w:tr>
      <w:tr>
        <w:tc>
          <w:tcPr>
            <w:tcW w:type="dxa" w:w="273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ROE − ROIC</w:t>
            </w:r>
          </w:p>
        </w:tc>
        <w:tc>
          <w:tcPr>
            <w:tcW w:type="dxa" w:w="208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45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음수 = 레버리지로 부풀린 것이 아님</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이자부부채 ÷ 자기자본</w:t>
            </w:r>
          </w:p>
        </w:tc>
        <w:tc>
          <w:tcPr>
            <w:tcW w:type="dxa" w:w="208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11.8%</w:t>
            </w:r>
          </w:p>
        </w:tc>
        <w:tc>
          <w:tcPr>
            <w:tcW w:type="dxa" w:w="45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함정이 성립하려면 이 값이 커야 함</w:t>
            </w:r>
          </w:p>
        </w:tc>
      </w:tr>
    </w:tbl>
    <w:p>
      <w:pPr>
        <w:spacing w:after="200"/>
      </w:pPr>
    </w:p>
    <w:p>
      <w:pPr>
        <w:spacing w:after="140" w:line="288"/>
      </w:pPr>
      <w:r>
        <w:rPr>
          <w:rFonts w:ascii="Malgun Gothic" w:cs="Malgun Gothic" w:eastAsia="Malgun Gothic" w:hAnsi="Malgun Gothic"/>
          <w:sz w:val="19"/>
          <w:szCs w:val="19"/>
        </w:rPr>
        <w:t xml:space="preserve">스프레드가 음수라는 것은 ROE가 ROIC보다 </w:t>
      </w:r>
      <w:r>
        <w:rPr>
          <w:rFonts w:ascii="Malgun Gothic" w:cs="Malgun Gothic" w:eastAsia="Malgun Gothic" w:hAnsi="Malgun Gothic"/>
          <w:b/>
          <w:bCs/>
          <w:sz w:val="19"/>
          <w:szCs w:val="19"/>
        </w:rPr>
        <w:t xml:space="preserve">낮다</w:t>
      </w:r>
      <w:r>
        <w:rPr>
          <w:rFonts w:ascii="Malgun Gothic" w:cs="Malgun Gothic" w:eastAsia="Malgun Gothic" w:hAnsi="Malgun Gothic"/>
          <w:sz w:val="19"/>
          <w:szCs w:val="19"/>
        </w:rPr>
        <w:t xml:space="preserve">는 뜻입니다. 함정에 빠진 회사는 이 값이 크게 양수입니다. 알파벳이 반대인 이유는 항등식 하나로 설명됩니다.</w:t>
      </w:r>
    </w:p>
    <w:p>
      <w:pPr>
        <w:shd w:fill="F2F4F8" w:color="auto" w:val="clear"/>
        <w:spacing w:after="180" w:before="120"/>
        <w:jc w:val="center"/>
      </w:pPr>
      <w:r>
        <w:rPr>
          <w:rFonts w:ascii="Malgun Gothic" w:cs="Malgun Gothic" w:eastAsia="Malgun Gothic" w:hAnsi="Malgun Gothic"/>
          <w:b/>
          <w:bCs/>
          <w:color w:val="1F3864"/>
          <w:sz w:val="18"/>
          <w:szCs w:val="18"/>
        </w:rPr>
        <w:t xml:space="preserve">자기자본 − 순현금 = 자기자본 + 이자부부채 − 현금 = 투하자본. $415B − $78B = $338B. 알파벳에서 ROE와 ROIC를 갈라놓는 것은 부채가 아니라 이 순현금입니다.</w:t>
      </w:r>
    </w:p>
    <w:p>
      <w:pPr>
        <w:spacing w:after="140" w:line="288"/>
      </w:pPr>
      <w:r>
        <w:rPr>
          <w:rFonts w:ascii="Malgun Gothic" w:cs="Malgun Gothic" w:eastAsia="Malgun Gothic" w:hAnsi="Malgun Gothic"/>
          <w:sz w:val="19"/>
          <w:szCs w:val="19"/>
        </w:rPr>
        <w:t xml:space="preserve">자기자본 $415B 가운데 $78B는 사업에 투입되지 않고 현금과 단기투자자산으로 놀고 있습니다. ROE는 이 놀고 있는 돈까지 분모에 넣고, ROIC는 빼고 계산합니다. 그래서 </w:t>
      </w:r>
      <w:r>
        <w:rPr>
          <w:rFonts w:ascii="Malgun Gothic" w:cs="Malgun Gothic" w:eastAsia="Malgun Gothic" w:hAnsi="Malgun Gothic"/>
          <w:b/>
          <w:bCs/>
          <w:sz w:val="19"/>
          <w:szCs w:val="19"/>
        </w:rPr>
        <w:t xml:space="preserve">현금이 많을수록 ROE가 실제 사업 수익성보다 낮게 나옵니다.</w:t>
      </w:r>
      <w:r>
        <w:rPr>
          <w:rFonts w:ascii="Malgun Gothic" w:cs="Malgun Gothic" w:eastAsia="Malgun Gothic" w:hAnsi="Malgun Gothic"/>
          <w:sz w:val="19"/>
          <w:szCs w:val="19"/>
        </w:rPr>
        <w:t xml:space="preserve"> 알파벳의 ROE는 사업을 과대평가하는 것이 아니라 과소평가하고 있습니다.</w:t>
      </w:r>
    </w:p>
    <w:p>
      <w:pPr>
        <w:spacing w:after="140" w:line="288"/>
      </w:pPr>
      <w:r>
        <w:rPr>
          <w:rFonts w:ascii="Malgun Gothic" w:cs="Malgun Gothic" w:eastAsia="Malgun Gothic" w:hAnsi="Malgun Gothic"/>
          <w:sz w:val="19"/>
          <w:szCs w:val="19"/>
        </w:rPr>
        <w:t xml:space="preserve">책에서 말하는 '이상적인 형태 — 기존 ROIC와 신규 ROIC가 모두 높고, 부채가 거의 없어서 ROE ≈ ROIC인 회사'에 알파벳이 정확히 해당합니다. 다만 여기에는 되돌려 물어야 할 질문이 하나 붙습니다.</w:t>
      </w:r>
    </w:p>
    <w:p>
      <w:pPr>
        <w:pStyle w:val="ListParagraph"/>
        <w:numPr>
          <w:ilvl w:val="0"/>
          <w:numId w:val="2"/>
        </w:numPr>
        <w:spacing w:after="120" w:line="284"/>
      </w:pPr>
      <w:r>
        <w:rPr>
          <w:rFonts w:ascii="Malgun Gothic" w:cs="Malgun Gothic" w:eastAsia="Malgun Gothic" w:hAnsi="Malgun Gothic"/>
          <w:sz w:val="19"/>
          <w:szCs w:val="19"/>
        </w:rPr>
        <w:t xml:space="preserve">ROE가 ROIC보다 낮다는 것은 자본배분이 완벽하지 않다는 뜻이기도 합니다. $78B가 사업 수익률 36.9%이 아니라 국채 수준(4.7% 내외)으로 굴러가고 있습니다. 이 돈을 사업이나 자사주로 돌리면 주당 가치가 올라갑니다.</w:t>
      </w:r>
    </w:p>
    <w:p>
      <w:pPr>
        <w:pStyle w:val="ListParagraph"/>
        <w:numPr>
          <w:ilvl w:val="0"/>
          <w:numId w:val="2"/>
        </w:numPr>
        <w:spacing w:after="120" w:line="284"/>
      </w:pPr>
      <w:r>
        <w:rPr>
          <w:rFonts w:ascii="Malgun Gothic" w:cs="Malgun Gothic" w:eastAsia="Malgun Gothic" w:hAnsi="Malgun Gothic"/>
          <w:sz w:val="19"/>
          <w:szCs w:val="19"/>
        </w:rPr>
        <w:t xml:space="preserve">실제로 알파벳은 FY2025에 자사주를 $45.7B 매입했고, 주식수는 연 1.1%씩 줄고 있습니다. 즉 회사도 이 문제를 알고 처리하는 중입니다.</w:t>
      </w:r>
    </w:p>
    <w:p>
      <w:pPr>
        <w:pStyle w:val="ListParagraph"/>
        <w:numPr>
          <w:ilvl w:val="0"/>
          <w:numId w:val="2"/>
        </w:numPr>
        <w:spacing w:after="120" w:line="284"/>
      </w:pPr>
      <w:r>
        <w:rPr>
          <w:rFonts w:ascii="Malgun Gothic" w:cs="Malgun Gothic" w:eastAsia="Malgun Gothic" w:hAnsi="Malgun Gothic"/>
          <w:sz w:val="19"/>
          <w:szCs w:val="19"/>
        </w:rPr>
        <w:t xml:space="preserve">따라서 알파벳의 ROE에 대한 올바른 해석은 '함정이 있으니 조심하라'가 아니라 'ROE 대신 ROIC를 봐야 사업이 보인다'입니다. 그리고 두 숫자의 차이는 위험이 아니라 아직 배분되지 않은 자산입니다.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주의할 함정은 따로 있습니다. FY2025 보고 순이익 $132.2B 중 $20.5B(세후)는 보유 지분의 평가이익이지 사업이 번 돈이 아닙니다. ROE도 PER도 이 숫자를 분자에 그대로 쓰기 때문에, 보고 기준 PER 32.6x은 사업 기준으로는 38.5x입니다. 6.4절에서 더 다룹니다.</w:t>
      </w:r>
    </w:p>
    <w:p>
      <w:pPr>
        <w:pStyle w:val="Heading2"/>
        <w:spacing w:after="60" w:before="400"/>
      </w:pPr>
      <w:r>
        <w:rPr>
          <w:rFonts w:ascii="Malgun Gothic" w:cs="Malgun Gothic" w:eastAsia="Malgun Gothic" w:hAnsi="Malgun Gothic"/>
          <w:b/>
          <w:bCs/>
          <w:color w:val="1F3864"/>
          <w:sz w:val="23"/>
          <w:szCs w:val="23"/>
        </w:rPr>
        <w:t xml:space="preserve">메모 4 — "큼"</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AI 데이터센터 설비투자(Hyperscale)에서 나오는 ROIC를 따로 구할 수 있는 방법은 없는지 알아봐줘</w:t>
      </w:r>
    </w:p>
    <w:p>
      <w:pPr>
        <w:spacing w:after="140" w:line="288"/>
      </w:pPr>
      <w:r>
        <w:rPr>
          <w:rFonts w:ascii="Malgun Gothic" w:cs="Malgun Gothic" w:eastAsia="Malgun Gothic" w:hAnsi="Malgun Gothic"/>
          <w:b/>
          <w:bCs/>
          <w:sz w:val="19"/>
          <w:szCs w:val="19"/>
        </w:rPr>
        <w:t xml:space="preserve">직접 구하는 것은 불가능합니다. 알파벳이 공시하지 않기 때문이고, 이건 자료를 못 찾은 것이 아니라 확인된 사실입니다.</w:t>
      </w:r>
      <w:r>
        <w:rPr>
          <w:rFonts w:ascii="Malgun Gothic" w:cs="Malgun Gothic" w:eastAsia="Malgun Gothic" w:hAnsi="Malgun Gothic"/>
          <w:sz w:val="19"/>
          <w:szCs w:val="19"/>
        </w:rPr>
        <w:t xml:space="preserve"> 다만 우회로가 세 가지 있고, 그중 하나는 오히려 직접 계산보다 버핏의 질문에 더 잘 맞습니다.</w:t>
      </w:r>
    </w:p>
    <w:p>
      <w:pPr>
        <w:pStyle w:val="Heading3"/>
        <w:spacing w:after="100" w:before="240"/>
      </w:pPr>
      <w:r>
        <w:rPr>
          <w:rFonts w:ascii="Malgun Gothic" w:cs="Malgun Gothic" w:eastAsia="Malgun Gothic" w:hAnsi="Malgun Gothic"/>
          <w:b/>
          <w:bCs/>
          <w:color w:val="8B3A2F"/>
          <w:sz w:val="20"/>
          <w:szCs w:val="20"/>
        </w:rPr>
        <w:t xml:space="preserve">먼저, 왜 직접 계산이 불가능한가</w:t>
      </w:r>
    </w:p>
    <w:p>
      <w:pPr>
        <w:spacing w:after="140" w:line="288"/>
      </w:pPr>
      <w:r>
        <w:rPr>
          <w:rFonts w:ascii="Malgun Gothic" w:cs="Malgun Gothic" w:eastAsia="Malgun Gothic" w:hAnsi="Malgun Gothic"/>
          <w:sz w:val="19"/>
          <w:szCs w:val="19"/>
        </w:rPr>
        <w:t xml:space="preserve">FY2025 10-K(접수번호 0001652044-26-000018)의 인라인 XBRL에서 사업부문 축(StatementBusinessSegmentsAxis)이 붙은 사실(fact)을 전수 조사했습니다. 부문별로 태깅된 항목은 다음이 전부입니다.</w:t>
      </w:r>
    </w:p>
    <w:p>
      <w:pPr>
        <w:pStyle w:val="ListParagraph"/>
        <w:numPr>
          <w:ilvl w:val="0"/>
          <w:numId w:val="2"/>
        </w:numPr>
        <w:spacing w:after="120" w:line="284"/>
      </w:pPr>
      <w:r>
        <w:rPr>
          <w:rFonts w:ascii="Malgun Gothic" w:cs="Malgun Gothic" w:eastAsia="Malgun Gothic" w:hAnsi="Malgun Gothic"/>
          <w:sz w:val="19"/>
          <w:szCs w:val="19"/>
        </w:rPr>
        <w:t xml:space="preserve">매출 (RevenueFromContractWithCustomerExcludingAssessedTax)</w:t>
      </w:r>
    </w:p>
    <w:p>
      <w:pPr>
        <w:pStyle w:val="ListParagraph"/>
        <w:numPr>
          <w:ilvl w:val="0"/>
          <w:numId w:val="2"/>
        </w:numPr>
        <w:spacing w:after="120" w:line="284"/>
      </w:pPr>
      <w:r>
        <w:rPr>
          <w:rFonts w:ascii="Malgun Gothic" w:cs="Malgun Gothic" w:eastAsia="Malgun Gothic" w:hAnsi="Malgun Gothic"/>
          <w:sz w:val="19"/>
          <w:szCs w:val="19"/>
        </w:rPr>
        <w:t xml:space="preserve">영업이익 (OperatingIncomeLoss)</w:t>
      </w:r>
    </w:p>
    <w:p>
      <w:pPr>
        <w:pStyle w:val="ListParagraph"/>
        <w:numPr>
          <w:ilvl w:val="0"/>
          <w:numId w:val="2"/>
        </w:numPr>
        <w:spacing w:after="120" w:line="284"/>
      </w:pPr>
      <w:r>
        <w:rPr>
          <w:rFonts w:ascii="Malgun Gothic" w:cs="Malgun Gothic" w:eastAsia="Malgun Gothic" w:hAnsi="Malgun Gothic"/>
          <w:sz w:val="19"/>
          <w:szCs w:val="19"/>
        </w:rPr>
        <w:t xml:space="preserve">비용 및 원가 (CostsAndExpenses, OperatingExpenses, LaborAndRelatedExpense)</w:t>
      </w:r>
    </w:p>
    <w:p>
      <w:pPr>
        <w:pStyle w:val="ListParagraph"/>
        <w:numPr>
          <w:ilvl w:val="0"/>
          <w:numId w:val="2"/>
        </w:numPr>
        <w:spacing w:after="120" w:line="284"/>
      </w:pPr>
      <w:r>
        <w:rPr>
          <w:rFonts w:ascii="Malgun Gothic" w:cs="Malgun Gothic" w:eastAsia="Malgun Gothic" w:hAnsi="Malgun Gothic"/>
          <w:sz w:val="19"/>
          <w:szCs w:val="19"/>
        </w:rPr>
        <w:t xml:space="preserve">영업권 (Goodwill)</w:t>
      </w:r>
    </w:p>
    <w:p>
      <w:pPr>
        <w:spacing w:after="140" w:line="288"/>
      </w:pPr>
      <w:r>
        <w:rPr>
          <w:rFonts w:ascii="Malgun Gothic" w:cs="Malgun Gothic" w:eastAsia="Malgun Gothic" w:hAnsi="Malgun Gothic"/>
          <w:b/>
          <w:bCs/>
          <w:sz w:val="19"/>
          <w:szCs w:val="19"/>
        </w:rPr>
        <w:t xml:space="preserve">자산·설비투자·감가상각은 부문 축에 붙어 있지 않습니다.</w:t>
      </w:r>
      <w:r>
        <w:rPr>
          <w:rFonts w:ascii="Malgun Gothic" w:cs="Malgun Gothic" w:eastAsia="Malgun Gothic" w:hAnsi="Malgun Gothic"/>
          <w:sz w:val="19"/>
          <w:szCs w:val="19"/>
        </w:rPr>
        <w:t xml:space="preserve"> 미국 회계기준(ASC 280)은 최고경영의사결정자(CODM)에게 정기적으로 제공되는 정보만 공시하도록 요구하는데, 알파벳은 자산을 부문별로 보고받지 않는다고 밝히고 있어 공시 의무가 없습니다. ROIC의 분모가 통째로 존재하지 않으므로, '구글 클라우드의 ROIC'라고 제시되는 어떤 숫자도 알파벳이 보고한 값이 아니라 분석자가 고른 배분 가정입니다. 그 사실을 밝히지 않고 제시하는 것은 정확한 것처럼 보이지만 틀린 숫자를 만드는 일이라, 아래에서는 가정을 전면에 드러내는 방식으로만 제시합니다.</w:t>
      </w:r>
    </w:p>
    <w:p>
      <w:pPr>
        <w:pStyle w:val="Heading3"/>
        <w:spacing w:after="100" w:before="240"/>
      </w:pPr>
      <w:r>
        <w:rPr>
          <w:rFonts w:ascii="Malgun Gothic" w:cs="Malgun Gothic" w:eastAsia="Malgun Gothic" w:hAnsi="Malgun Gothic"/>
          <w:b/>
          <w:bCs/>
          <w:color w:val="8B3A2F"/>
          <w:sz w:val="20"/>
          <w:szCs w:val="20"/>
        </w:rPr>
        <w:t xml:space="preserve">우회로 ① 분자만 쓰기 — 클라우드의 손익은 공시된다</w:t>
      </w:r>
    </w:p>
    <w:p>
      <w:pPr>
        <w:spacing w:after="140" w:line="288"/>
      </w:pPr>
      <w:r>
        <w:rPr>
          <w:rFonts w:ascii="Malgun Gothic" w:cs="Malgun Gothic" w:eastAsia="Malgun Gothic" w:hAnsi="Malgun Gothic"/>
          <w:sz w:val="19"/>
          <w:szCs w:val="19"/>
        </w:rPr>
        <w:t xml:space="preserve">자본은 몰라도 이익은 알 수 있습니다. 그리고 클라우드의 손익 궤적 자체가 이미 많은 것을 말해줍니다.</w:t>
      </w:r>
    </w:p>
    <w:tbl>
      <w:tblPr>
        <w:tblW w:type="dxa" w:w="9360"/>
        <w:tblBorders>
          <w:top w:val="single" w:color="BFBFBF" w:sz="2"/>
          <w:left w:val="none"/>
          <w:bottom w:val="single" w:color="BFBFBF" w:sz="2"/>
          <w:right w:val="none"/>
          <w:insideH w:val="single" w:color="D9D9D9" w:sz="1"/>
          <w:insideV w:val="none"/>
        </w:tblBorders>
      </w:tblPr>
      <w:tblGrid>
        <w:gridCol w:w="906"/>
        <w:gridCol w:w="2566"/>
        <w:gridCol w:w="1963"/>
        <w:gridCol w:w="1963"/>
        <w:gridCol w:w="1963"/>
      </w:tblGrid>
      <w:tr>
        <w:trPr>
          <w:tblHeader/>
        </w:trPr>
        <w:tc>
          <w:tcPr>
            <w:tcW w:type="dxa" w:w="90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2566"/>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부문</w:t>
            </w:r>
          </w:p>
        </w:tc>
        <w:tc>
          <w:tcPr>
            <w:tcW w:type="dxa" w:w="196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매출</w:t>
            </w:r>
          </w:p>
        </w:tc>
        <w:tc>
          <w:tcPr>
            <w:tcW w:type="dxa" w:w="196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w:t>
            </w:r>
          </w:p>
        </w:tc>
        <w:tc>
          <w:tcPr>
            <w:tcW w:type="dxa" w:w="1963"/>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영업이익률</w:t>
            </w:r>
          </w:p>
        </w:tc>
      </w:tr>
      <w:tr>
        <w:tc>
          <w:tcPr>
            <w:tcW w:type="dxa" w:w="90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5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$272.5B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$95.9B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35.2%</w:t>
            </w:r>
          </w:p>
        </w:tc>
      </w:tr>
      <w:tr>
        <w:tc>
          <w:tcPr>
            <w:tcW w:type="dxa" w:w="90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5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$33.1B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5.2%</w:t>
            </w:r>
          </w:p>
        </w:tc>
      </w:tr>
      <w:tr>
        <w:tc>
          <w:tcPr>
            <w:tcW w:type="dxa" w:w="90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5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-268.2%</w:t>
            </w:r>
          </w:p>
        </w:tc>
      </w:tr>
      <w:tr>
        <w:tc>
          <w:tcPr>
            <w:tcW w:type="dxa" w:w="90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5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$304.9B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$121.3B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39.8%</w:t>
            </w:r>
          </w:p>
        </w:tc>
      </w:tr>
      <w:tr>
        <w:tc>
          <w:tcPr>
            <w:tcW w:type="dxa" w:w="90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5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$43.2B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14.1%</w:t>
            </w:r>
          </w:p>
        </w:tc>
      </w:tr>
      <w:tr>
        <w:tc>
          <w:tcPr>
            <w:tcW w:type="dxa" w:w="90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5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-269.7%</w:t>
            </w:r>
          </w:p>
        </w:tc>
      </w:tr>
      <w:tr>
        <w:tc>
          <w:tcPr>
            <w:tcW w:type="dxa" w:w="90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5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서비스</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$342.7B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$139.4B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40.7%</w:t>
            </w:r>
          </w:p>
        </w:tc>
      </w:tr>
      <w:tr>
        <w:tc>
          <w:tcPr>
            <w:tcW w:type="dxa" w:w="90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566"/>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구글 클라우드</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$58.7B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$13.9B</w:t>
            </w:r>
          </w:p>
        </w:tc>
        <w:tc>
          <w:tcPr>
            <w:tcW w:type="dxa" w:w="1963"/>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23.7%</w:t>
            </w:r>
          </w:p>
        </w:tc>
      </w:tr>
      <w:tr>
        <w:tc>
          <w:tcPr>
            <w:tcW w:type="dxa" w:w="90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566"/>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기타 베팅</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−$7.5B</w:t>
            </w:r>
          </w:p>
        </w:tc>
        <w:tc>
          <w:tcPr>
            <w:tcW w:type="dxa" w:w="1963"/>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-488.9%</w:t>
            </w:r>
          </w:p>
        </w:tc>
      </w:tr>
    </w:tbl>
    <w:p>
      <w:pPr>
        <w:spacing w:after="200"/>
      </w:pPr>
    </w:p>
    <w:p>
      <w:pPr>
        <w:spacing w:after="140" w:line="288"/>
      </w:pPr>
      <w:r>
        <w:rPr>
          <w:rFonts w:ascii="Malgun Gothic" w:cs="Malgun Gothic" w:eastAsia="Malgun Gothic" w:hAnsi="Malgun Gothic"/>
          <w:sz w:val="19"/>
          <w:szCs w:val="19"/>
        </w:rPr>
        <w:t xml:space="preserve">구글 클라우드는 FY2023 영업이익 $1.7B에서 FY2025 $13.9B로 2년 만에 8배가 되었고, 영업이익률은 5.2%에서 23.7%로 올라갔습니다. 설비투자가 가장 공격적이었던 구간에 마진이 </w:t>
      </w:r>
      <w:r>
        <w:rPr>
          <w:rFonts w:ascii="Malgun Gothic" w:cs="Malgun Gothic" w:eastAsia="Malgun Gothic" w:hAnsi="Malgun Gothic"/>
          <w:b/>
          <w:bCs/>
          <w:sz w:val="19"/>
          <w:szCs w:val="19"/>
        </w:rPr>
        <w:t xml:space="preserve">확대</w:t>
      </w:r>
      <w:r>
        <w:rPr>
          <w:rFonts w:ascii="Malgun Gothic" w:cs="Malgun Gothic" w:eastAsia="Malgun Gothic" w:hAnsi="Malgun Gothic"/>
          <w:sz w:val="19"/>
          <w:szCs w:val="19"/>
        </w:rPr>
        <w:t xml:space="preserve">되었다는 점이 중요합니다. 감가상각은 비용으로 이미 이 안에 들어가 있기 때문입니다.</w:t>
      </w:r>
    </w:p>
    <w:p>
      <w:pPr>
        <w:pStyle w:val="Heading3"/>
        <w:spacing w:after="100" w:before="240"/>
      </w:pPr>
      <w:r>
        <w:rPr>
          <w:rFonts w:ascii="Malgun Gothic" w:cs="Malgun Gothic" w:eastAsia="Malgun Gothic" w:hAnsi="Malgun Gothic"/>
          <w:b/>
          <w:bCs/>
          <w:color w:val="8B3A2F"/>
          <w:sz w:val="20"/>
          <w:szCs w:val="20"/>
        </w:rPr>
        <w:t xml:space="preserve">우회로 ② 자본을 배분해서 구하기 — 가정을 드러낸 밴드</w:t>
      </w:r>
    </w:p>
    <w:p>
      <w:pPr>
        <w:spacing w:after="140" w:line="288"/>
      </w:pPr>
      <w:r>
        <w:rPr>
          <w:rFonts w:ascii="Malgun Gothic" w:cs="Malgun Gothic" w:eastAsia="Malgun Gothic" w:hAnsi="Malgun Gothic"/>
          <w:sz w:val="19"/>
          <w:szCs w:val="19"/>
        </w:rPr>
        <w:t xml:space="preserve">굳이 ROIC 형태로 보고 싶다면, 전사 기술 인프라 자산을 클라우드에 몇 % 배분할지 가정해야 합니다. 배분 비율에 따라 답이 이만큼 달라집니다.</w:t>
      </w:r>
    </w:p>
    <w:tbl>
      <w:tblPr>
        <w:tblW w:type="dxa" w:w="9360"/>
        <w:tblBorders>
          <w:top w:val="single" w:color="BFBFBF" w:sz="2"/>
          <w:left w:val="none"/>
          <w:bottom w:val="single" w:color="BFBFBF" w:sz="2"/>
          <w:right w:val="none"/>
          <w:insideH w:val="single" w:color="D9D9D9" w:sz="1"/>
          <w:insideV w:val="none"/>
        </w:tblBorders>
      </w:tblPr>
      <w:tblGrid>
        <w:gridCol w:w="1690"/>
        <w:gridCol w:w="1690"/>
        <w:gridCol w:w="1560"/>
        <w:gridCol w:w="4420"/>
      </w:tblGrid>
      <w:tr>
        <w:trPr>
          <w:tblHeader/>
        </w:trPr>
        <w:tc>
          <w:tcPr>
            <w:tcW w:type="dxa" w:w="16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기술인프라 배분율</w:t>
            </w:r>
          </w:p>
        </w:tc>
        <w:tc>
          <w:tcPr>
            <w:tcW w:type="dxa" w:w="16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배분된 자본</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추정 ROIC</w:t>
            </w:r>
          </w:p>
        </w:tc>
        <w:tc>
          <w:tcPr>
            <w:tcW w:type="dxa" w:w="442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배분 근거</w:t>
            </w:r>
          </w:p>
        </w:tc>
      </w:tr>
      <w:tr>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14.6%</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54.6%</w:t>
            </w:r>
          </w:p>
        </w:tc>
        <w:tc>
          <w:tcPr>
            <w:tcW w:type="dxa" w:w="442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매출 비중과 동일하게 배분</w:t>
            </w:r>
          </w:p>
        </w:tc>
      </w:tr>
      <w:tr>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25.0%</w:t>
            </w:r>
          </w:p>
        </w:tc>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31.8%</w:t>
            </w:r>
          </w:p>
        </w:tc>
        <w:tc>
          <w:tcPr>
            <w:tcW w:type="dxa" w:w="442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인프라의 4분의 1을 배분</w:t>
            </w:r>
          </w:p>
        </w:tc>
      </w:tr>
      <w:tr>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40.0%</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$58B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19.9%</w:t>
            </w:r>
          </w:p>
        </w:tc>
        <w:tc>
          <w:tcPr>
            <w:tcW w:type="dxa" w:w="442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기술 인프라의 5분의 2를 배분</w:t>
            </w:r>
          </w:p>
        </w:tc>
      </w:tr>
    </w:tbl>
    <w:p>
      <w:pPr>
        <w:spacing w:after="200"/>
      </w:pPr>
    </w:p>
    <w:p>
      <w:pPr>
        <w:spacing w:after="140" w:line="288"/>
      </w:pPr>
      <w:r>
        <w:rPr>
          <w:rFonts w:ascii="Malgun Gothic" w:cs="Malgun Gothic" w:eastAsia="Malgun Gothic" w:hAnsi="Malgun Gothic"/>
          <w:sz w:val="19"/>
          <w:szCs w:val="19"/>
        </w:rPr>
        <w:t xml:space="preserve">클라우드 세후 영업이익 $11.6B을 위 자본으로 나눈 값입니다. </w:t>
      </w:r>
      <w:r>
        <w:rPr>
          <w:rFonts w:ascii="Malgun Gothic" w:cs="Malgun Gothic" w:eastAsia="Malgun Gothic" w:hAnsi="Malgun Gothic"/>
          <w:b/>
          <w:bCs/>
          <w:sz w:val="19"/>
          <w:szCs w:val="19"/>
        </w:rPr>
        <w:t xml:space="preserve">19.9%에서 54.6%까지 벌어집니다.</w:t>
      </w:r>
      <w:r>
        <w:rPr>
          <w:rFonts w:ascii="Malgun Gothic" w:cs="Malgun Gothic" w:eastAsia="Malgun Gothic" w:hAnsi="Malgun Gothic"/>
          <w:sz w:val="19"/>
          <w:szCs w:val="19"/>
        </w:rPr>
        <w:t xml:space="preserve"> 어느 쪽도 틀렸다고 말할 근거가 없으니, 이 밴드가 알려주는 것은 '클라우드 ROIC가 몇 %다'가 아니라 '가장 보수적인 배분에서도 WACC 10.0%의 두 배는 넘는다'는 사실뿐입니다. 그 정도가 이 방법으로 정직하게 말할 수 있는 전부입니다.</w:t>
      </w:r>
    </w:p>
    <w:p>
      <w:pPr>
        <w:pStyle w:val="Heading3"/>
        <w:spacing w:after="100" w:before="240"/>
      </w:pPr>
      <w:r>
        <w:rPr>
          <w:rFonts w:ascii="Malgun Gothic" w:cs="Malgun Gothic" w:eastAsia="Malgun Gothic" w:hAnsi="Malgun Gothic"/>
          <w:b/>
          <w:bCs/>
          <w:color w:val="8B3A2F"/>
          <w:sz w:val="20"/>
          <w:szCs w:val="20"/>
        </w:rPr>
        <w:t xml:space="preserve">우회로 ③ 증분으로 보기 — 버핏이 실제로 묻는 질문</w:t>
      </w:r>
    </w:p>
    <w:p>
      <w:pPr>
        <w:spacing w:after="140" w:line="288"/>
      </w:pPr>
      <w:r>
        <w:rPr>
          <w:rFonts w:ascii="Malgun Gothic" w:cs="Malgun Gothic" w:eastAsia="Malgun Gothic" w:hAnsi="Malgun Gothic"/>
          <w:sz w:val="19"/>
          <w:szCs w:val="19"/>
        </w:rPr>
        <w:t xml:space="preserve">사실 버핏은 '데이터센터 부문의 ROIC가 얼마인가'를 묻지 않습니다. 그가 1992년 서한에서 던진 질문은 </w:t>
      </w:r>
      <w:r>
        <w:rPr>
          <w:rFonts w:ascii="Malgun Gothic" w:cs="Malgun Gothic" w:eastAsia="Malgun Gothic" w:hAnsi="Malgun Gothic"/>
          <w:b/>
          <w:bCs/>
          <w:sz w:val="19"/>
          <w:szCs w:val="19"/>
        </w:rPr>
        <w:t xml:space="preserve">'새로 투입한 자본이 얼마를 벌어오는가'</w:t>
      </w:r>
      <w:r>
        <w:rPr>
          <w:rFonts w:ascii="Malgun Gothic" w:cs="Malgun Gothic" w:eastAsia="Malgun Gothic" w:hAnsi="Malgun Gothic"/>
          <w:sz w:val="19"/>
          <w:szCs w:val="19"/>
        </w:rPr>
        <w:t xml:space="preserve">이고, 이건 부문 정보 없이 전사 숫자만으로 답할 수 있습니다. 그리고 AI 설비투자가 본격화된 구간으로 창을 좁히면 그 자체가 데이터센터 투자의 수익률에 대한 답이 됩니다 — 그 기간에 늘어난 자본의 대부분이 데이터센터이기 때문입니다.</w:t>
      </w:r>
    </w:p>
    <w:tbl>
      <w:tblPr>
        <w:tblW w:type="dxa" w:w="9360"/>
        <w:tblBorders>
          <w:top w:val="single" w:color="BFBFBF" w:sz="2"/>
          <w:left w:val="none"/>
          <w:bottom w:val="single" w:color="BFBFBF" w:sz="2"/>
          <w:right w:val="none"/>
          <w:insideH w:val="single" w:color="D9D9D9" w:sz="1"/>
          <w:insideV w:val="none"/>
        </w:tblBorders>
      </w:tblPr>
      <w:tblGrid>
        <w:gridCol w:w="3380"/>
        <w:gridCol w:w="1950"/>
        <w:gridCol w:w="1820"/>
        <w:gridCol w:w="2210"/>
      </w:tblGrid>
      <w:tr>
        <w:trPr>
          <w:tblHeader/>
        </w:trPr>
        <w:tc>
          <w:tcPr>
            <w:tcW w:type="dxa" w:w="33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측정 구간</w:t>
            </w:r>
          </w:p>
        </w:tc>
        <w:tc>
          <w:tcPr>
            <w:tcW w:type="dxa" w:w="19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 증가</w:t>
            </w:r>
          </w:p>
        </w:tc>
        <w:tc>
          <w:tcPr>
            <w:tcW w:type="dxa" w:w="182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 증가</w:t>
            </w:r>
          </w:p>
        </w:tc>
        <w:tc>
          <w:tcPr>
            <w:tcW w:type="dxa" w:w="22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r>
      <w:tr>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FY2021→FY2025 (AI 설비투자 구간)</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$210B</w:t>
            </w:r>
          </w:p>
        </w:tc>
        <w:tc>
          <w:tcPr>
            <w:tcW w:type="dxa" w:w="18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$41.4B</w:t>
            </w:r>
          </w:p>
        </w:tc>
        <w:tc>
          <w:tcPr>
            <w:tcW w:type="dxa" w:w="221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19.7%</w:t>
            </w:r>
          </w:p>
        </w:tc>
      </w:tr>
      <w:tr>
        <w:tc>
          <w:tcPr>
            <w:tcW w:type="dxa" w:w="33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FY2022→FY2025</w:t>
            </w:r>
          </w:p>
        </w:tc>
        <w:tc>
          <w:tcPr>
            <w:tcW w:type="dxa" w:w="19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$180B</w:t>
            </w:r>
          </w:p>
        </w:tc>
        <w:tc>
          <w:tcPr>
            <w:tcW w:type="dxa" w:w="18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$44.5B</w:t>
            </w:r>
          </w:p>
        </w:tc>
        <w:tc>
          <w:tcPr>
            <w:tcW w:type="dxa" w:w="221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r>
      <w:tr>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FY2014→FY2025 (전체 기간)</w:t>
            </w:r>
          </w:p>
        </w:tc>
        <w:tc>
          <w:tcPr>
            <w:tcW w:type="dxa" w:w="19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$296B</w:t>
            </w:r>
          </w:p>
        </w:tc>
        <w:tc>
          <w:tcPr>
            <w:tcW w:type="dxa" w:w="18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$94.4B</w:t>
            </w:r>
          </w:p>
        </w:tc>
        <w:tc>
          <w:tcPr>
            <w:tcW w:type="dxa" w:w="221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31.9%</w:t>
            </w:r>
          </w:p>
        </w:tc>
      </w:tr>
    </w:tbl>
    <w:p>
      <w:pPr>
        <w:spacing w:after="200"/>
      </w:pPr>
    </w:p>
    <w:p>
      <w:pPr>
        <w:spacing w:after="140" w:line="288"/>
      </w:pPr>
      <w:r>
        <w:rPr>
          <w:rFonts w:ascii="Malgun Gothic" w:cs="Malgun Gothic" w:eastAsia="Malgun Gothic" w:hAnsi="Malgun Gothic"/>
          <w:b/>
          <w:bCs/>
          <w:sz w:val="19"/>
          <w:szCs w:val="19"/>
        </w:rPr>
        <w:t xml:space="preserve">FY2021→FY2025, 즉 AI 설비투자 구간의 신규 ROIC는 19.7%입니다.</w:t>
      </w:r>
      <w:r>
        <w:rPr>
          <w:rFonts w:ascii="Malgun Gothic" w:cs="Malgun Gothic" w:eastAsia="Malgun Gothic" w:hAnsi="Malgun Gothic"/>
          <w:sz w:val="19"/>
          <w:szCs w:val="19"/>
        </w:rPr>
        <w:t xml:space="preserve"> 전체 기간 31.9%보다 확실히 낮고, 기존 ROIC 37.1%의 절반 수준입니다. 동시에 WACC 10.0%의 두 배입니다. 이 한 줄이 알파벳 투자판단의 핵심이라, 3부 「기준 4」에서 이어서 다룹니다.</w:t>
      </w:r>
    </w:p>
    <w:p>
      <w:pPr>
        <w:pStyle w:val="Heading3"/>
        <w:spacing w:after="100" w:before="240"/>
      </w:pPr>
      <w:r>
        <w:rPr>
          <w:rFonts w:ascii="Malgun Gothic" w:cs="Malgun Gothic" w:eastAsia="Malgun Gothic" w:hAnsi="Malgun Gothic"/>
          <w:b/>
          <w:bCs/>
          <w:color w:val="8B3A2F"/>
          <w:sz w:val="20"/>
          <w:szCs w:val="20"/>
        </w:rPr>
        <w:t xml:space="preserve">보조 근거 — 인프라가 늘어난 만큼 매출이 따라오고 있는가</w:t>
      </w:r>
    </w:p>
    <w:tbl>
      <w:tblPr>
        <w:tblW w:type="dxa" w:w="9360"/>
        <w:tblBorders>
          <w:top w:val="single" w:color="BFBFBF" w:sz="2"/>
          <w:left w:val="none"/>
          <w:bottom w:val="single" w:color="BFBFBF" w:sz="2"/>
          <w:right w:val="none"/>
          <w:insideH w:val="single" w:color="D9D9D9" w:sz="1"/>
          <w:insideV w:val="none"/>
        </w:tblBorders>
      </w:tblPr>
      <w:tblGrid>
        <w:gridCol w:w="964"/>
        <w:gridCol w:w="2065"/>
        <w:gridCol w:w="1927"/>
        <w:gridCol w:w="2202"/>
        <w:gridCol w:w="2202"/>
      </w:tblGrid>
      <w:tr>
        <w:trPr>
          <w:tblHeader/>
        </w:trPr>
        <w:tc>
          <w:tcPr>
            <w:tcW w:type="dxa" w:w="964"/>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20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기술인프라(총액)</w:t>
            </w:r>
          </w:p>
        </w:tc>
        <w:tc>
          <w:tcPr>
            <w:tcW w:type="dxa" w:w="1927"/>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건설중인자산</w:t>
            </w:r>
          </w:p>
        </w:tc>
        <w:tc>
          <w:tcPr>
            <w:tcW w:type="dxa" w:w="220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인프라 $1당 매출</w:t>
            </w:r>
          </w:p>
        </w:tc>
        <w:tc>
          <w:tcPr>
            <w:tcW w:type="dxa" w:w="2202"/>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설비투자÷감가상각</w:t>
            </w:r>
          </w:p>
        </w:tc>
      </w:tr>
      <w:tr>
        <w:tc>
          <w:tcPr>
            <w:tcW w:type="dxa" w:w="96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w:t>
            </w:r>
          </w:p>
        </w:tc>
        <w:tc>
          <w:tcPr>
            <w:tcW w:type="dxa" w:w="20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$66B</w:t>
            </w:r>
          </w:p>
        </w:tc>
        <w:tc>
          <w:tcPr>
            <w:tcW w:type="dxa" w:w="192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$28B</w:t>
            </w:r>
          </w:p>
        </w:tc>
        <w:tc>
          <w:tcPr>
            <w:tcW w:type="dxa" w:w="220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$4.27</w:t>
            </w:r>
          </w:p>
        </w:tc>
        <w:tc>
          <w:tcPr>
            <w:tcW w:type="dxa" w:w="220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2.34x</w:t>
            </w:r>
          </w:p>
        </w:tc>
      </w:tr>
      <w:tr>
        <w:tc>
          <w:tcPr>
            <w:tcW w:type="dxa" w:w="96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20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$81B</w:t>
            </w:r>
          </w:p>
        </w:tc>
        <w:tc>
          <w:tcPr>
            <w:tcW w:type="dxa" w:w="192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$35B</w:t>
            </w:r>
          </w:p>
        </w:tc>
        <w:tc>
          <w:tcPr>
            <w:tcW w:type="dxa" w:w="220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$3.81</w:t>
            </w:r>
          </w:p>
        </w:tc>
        <w:tc>
          <w:tcPr>
            <w:tcW w:type="dxa" w:w="220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2.70x</w:t>
            </w:r>
          </w:p>
        </w:tc>
      </w:tr>
      <w:tr>
        <w:tc>
          <w:tcPr>
            <w:tcW w:type="dxa" w:w="964"/>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206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$142B</w:t>
            </w:r>
          </w:p>
        </w:tc>
        <w:tc>
          <w:tcPr>
            <w:tcW w:type="dxa" w:w="1927"/>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$51B</w:t>
            </w:r>
          </w:p>
        </w:tc>
        <w:tc>
          <w:tcPr>
            <w:tcW w:type="dxa" w:w="220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2202"/>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3.43x</w:t>
            </w:r>
          </w:p>
        </w:tc>
      </w:tr>
      <w:tr>
        <w:tc>
          <w:tcPr>
            <w:tcW w:type="dxa" w:w="964"/>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206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$204B</w:t>
            </w:r>
          </w:p>
        </w:tc>
        <w:tc>
          <w:tcPr>
            <w:tcW w:type="dxa" w:w="1927"/>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$79B</w:t>
            </w:r>
          </w:p>
        </w:tc>
        <w:tc>
          <w:tcPr>
            <w:tcW w:type="dxa" w:w="220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$1.98</w:t>
            </w:r>
          </w:p>
        </w:tc>
        <w:tc>
          <w:tcPr>
            <w:tcW w:type="dxa" w:w="2202"/>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4.33x</w:t>
            </w:r>
          </w:p>
        </w:tc>
      </w:tr>
    </w:tbl>
    <w:p>
      <w:pPr>
        <w:spacing w:after="200"/>
      </w:pPr>
    </w:p>
    <w:p>
      <w:pPr>
        <w:spacing w:after="140" w:line="288"/>
      </w:pPr>
      <w:r>
        <w:rPr>
          <w:rFonts w:ascii="Malgun Gothic" w:cs="Malgun Gothic" w:eastAsia="Malgun Gothic" w:hAnsi="Malgun Gothic"/>
          <w:sz w:val="19"/>
          <w:szCs w:val="19"/>
        </w:rPr>
        <w:t xml:space="preserve">기술 인프라 총액은 FY2022 $66B에서 FY2025 $204B로 3배가 되었고, 인프라 1달러당 매출은 $4.27에서 $1.98로 절반 이하가 되었습니다. </w:t>
      </w:r>
      <w:r>
        <w:rPr>
          <w:rFonts w:ascii="Malgun Gothic" w:cs="Malgun Gothic" w:eastAsia="Malgun Gothic" w:hAnsi="Malgun Gothic"/>
          <w:b/>
          <w:bCs/>
          <w:sz w:val="19"/>
          <w:szCs w:val="19"/>
        </w:rPr>
        <w:t xml:space="preserve">자산이 매출보다 훨씬 빨리 늘고 있다</w:t>
      </w:r>
      <w:r>
        <w:rPr>
          <w:rFonts w:ascii="Malgun Gothic" w:cs="Malgun Gothic" w:eastAsia="Malgun Gothic" w:hAnsi="Malgun Gothic"/>
          <w:sz w:val="19"/>
          <w:szCs w:val="19"/>
        </w:rPr>
        <w:t xml:space="preserve"> — 이것이 신규 ROIC 하락의 실체입니다. 설비투자는 감가상각의 4.3x에 달합니다.</w:t>
      </w:r>
    </w:p>
    <w:p>
      <w:pPr>
        <w:spacing w:after="140" w:line="288"/>
      </w:pPr>
      <w:r>
        <w:rPr>
          <w:rFonts w:ascii="Malgun Gothic" w:cs="Malgun Gothic" w:eastAsia="Malgun Gothic" w:hAnsi="Malgun Gothic"/>
          <w:sz w:val="19"/>
          <w:szCs w:val="19"/>
        </w:rPr>
        <w:t xml:space="preserve">다만 이 숫자를 그대로 '수익성 악화'로 읽으면 안 되는 이유가 두 가지 있습니다. 첫째, FY2025 기술 인프라 중 $79B는 아직 건설 중인 자산이라 매출을 한 푼도 만들지 않고 있으면서 분모에는 들어가 있습니다. 둘째, 계약은 이미 잡혀 있습니다.</w:t>
      </w:r>
    </w:p>
    <w:tbl>
      <w:tblPr>
        <w:tblW w:type="dxa" w:w="9360"/>
        <w:tblBorders>
          <w:top w:val="single" w:color="BFBFBF" w:sz="2"/>
          <w:left w:val="none"/>
          <w:bottom w:val="single" w:color="BFBFBF" w:sz="2"/>
          <w:right w:val="none"/>
          <w:insideH w:val="single" w:color="D9D9D9" w:sz="1"/>
          <w:insideV w:val="none"/>
        </w:tblBorders>
      </w:tblPr>
      <w:tblGrid>
        <w:gridCol w:w="2080"/>
        <w:gridCol w:w="4160"/>
        <w:gridCol w:w="3120"/>
      </w:tblGrid>
      <w:tr>
        <w:trPr>
          <w:tblHeader/>
        </w:trPr>
        <w:tc>
          <w:tcPr>
            <w:tcW w:type="dxa" w:w="20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연도</w:t>
            </w:r>
          </w:p>
        </w:tc>
        <w:tc>
          <w:tcPr>
            <w:tcW w:type="dxa" w:w="41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미이행 계약잔고(RPO)</w:t>
            </w:r>
          </w:p>
        </w:tc>
        <w:tc>
          <w:tcPr>
            <w:tcW w:type="dxa" w:w="312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전년 대비</w:t>
            </w:r>
          </w:p>
        </w:tc>
      </w:tr>
      <w:tr>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FY2023</w:t>
            </w:r>
          </w:p>
        </w:tc>
        <w:tc>
          <w:tcPr>
            <w:tcW w:type="dxa" w:w="4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$74.1B</w:t>
            </w:r>
          </w:p>
        </w:tc>
        <w:tc>
          <w:tcPr>
            <w:tcW w:type="dxa" w:w="31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w:t>
            </w:r>
          </w:p>
        </w:tc>
      </w:tr>
      <w:tr>
        <w:tc>
          <w:tcPr>
            <w:tcW w:type="dxa" w:w="20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FY2024</w:t>
            </w:r>
          </w:p>
        </w:tc>
        <w:tc>
          <w:tcPr>
            <w:tcW w:type="dxa" w:w="41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$93.2B</w:t>
            </w:r>
          </w:p>
        </w:tc>
        <w:tc>
          <w:tcPr>
            <w:tcW w:type="dxa" w:w="31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w:t>
            </w:r>
          </w:p>
        </w:tc>
      </w:tr>
      <w:tr>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FY2025</w:t>
            </w:r>
          </w:p>
        </w:tc>
        <w:tc>
          <w:tcPr>
            <w:tcW w:type="dxa" w:w="41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$242.8B</w:t>
            </w:r>
          </w:p>
        </w:tc>
        <w:tc>
          <w:tcPr>
            <w:tcW w:type="dxa" w:w="31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+161%</w:t>
            </w:r>
          </w:p>
        </w:tc>
      </w:tr>
    </w:tbl>
    <w:p>
      <w:pPr>
        <w:spacing w:after="200"/>
      </w:pPr>
    </w:p>
    <w:p>
      <w:pPr>
        <w:spacing w:after="140" w:line="288"/>
      </w:pPr>
      <w:r>
        <w:rPr>
          <w:rFonts w:ascii="Malgun Gothic" w:cs="Malgun Gothic" w:eastAsia="Malgun Gothic" w:hAnsi="Malgun Gothic"/>
          <w:sz w:val="19"/>
          <w:szCs w:val="19"/>
        </w:rPr>
        <w:t xml:space="preserve">계약잔고가 2년 만에 $74B에서 $243B로 3.3배가 되었습니다. 이미 계약서에 서명됐지만 아직 매출로 인식되지 않은 금액이고, 알파벳은 이 중 절반가량이 24개월 내 인식될 것으로 봅니다. </w:t>
      </w:r>
      <w:r>
        <w:rPr>
          <w:rFonts w:ascii="Malgun Gothic" w:cs="Malgun Gothic" w:eastAsia="Malgun Gothic" w:hAnsi="Malgun Gothic"/>
          <w:b/>
          <w:bCs/>
          <w:sz w:val="19"/>
          <w:szCs w:val="19"/>
        </w:rPr>
        <w:t xml:space="preserve">설비투자가 수요를 앞질러 가고 있는지, 수요를 따라가고 있는지를 가르는 가장 직접적인 증거이며, 현재로서는 후자를 가리킵니다.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정리: 부문 ROIC를 직접 구하는 방법은 없습니다(공시 부재). 배분 가정을 쓰면 19.9~54.6%의 밴드가 나오고, 부문 정보 없이 전사 증분으로 보면 19.7%입니다. 세 방법 모두 같은 결론을 가리킵니다 — 신규 자본의 수익률은 기존 자본보다 확실히 낮아졌지만, 아직 자본비용의 두 배 위에 있습니다.</w:t>
      </w:r>
    </w:p>
    <w:p>
      <w:pPr>
        <w:pStyle w:val="Heading2"/>
        <w:spacing w:after="60" w:before="400"/>
      </w:pPr>
      <w:r>
        <w:rPr>
          <w:rFonts w:ascii="Malgun Gothic" w:cs="Malgun Gothic" w:eastAsia="Malgun Gothic" w:hAnsi="Malgun Gothic"/>
          <w:b/>
          <w:bCs/>
          <w:color w:val="1F3864"/>
          <w:sz w:val="23"/>
          <w:szCs w:val="23"/>
        </w:rPr>
        <w:t xml:space="preserve">메모 5 — "순현금 $78B"</w:t>
      </w:r>
    </w:p>
    <w:p>
      <w:pPr>
        <w:pBdr>
          <w:left w:val="single" w:color="C88A2E" w:sz="18" w:space="10"/>
        </w:pBdr>
        <w:shd w:fill="FFF4E5" w:color="auto" w:val="clear"/>
        <w:spacing w:after="200"/>
        <w:ind w:left="200"/>
      </w:pPr>
      <w:r>
        <w:rPr>
          <w:rFonts w:ascii="Malgun Gothic" w:cs="Malgun Gothic" w:eastAsia="Malgun Gothic" w:hAnsi="Malgun Gothic"/>
          <w:i/>
          <w:iCs/>
          <w:sz w:val="18"/>
          <w:szCs w:val="18"/>
        </w:rPr>
        <w:t xml:space="preserve">순현금 780억 달러라는 게 어떤 뜻이야? 780억 달러를 순현금으로 기업이 보유하고 있다는 의미야?</w:t>
      </w:r>
    </w:p>
    <w:p>
      <w:pPr>
        <w:spacing w:after="140" w:line="288"/>
      </w:pPr>
      <w:r>
        <w:rPr>
          <w:rFonts w:ascii="Malgun Gothic" w:cs="Malgun Gothic" w:eastAsia="Malgun Gothic" w:hAnsi="Malgun Gothic"/>
          <w:b/>
          <w:bCs/>
          <w:sz w:val="19"/>
          <w:szCs w:val="19"/>
        </w:rPr>
        <w:t xml:space="preserve">정확히는 '가지고 있는 현금성 자산에서 갚아야 할 이자부부채를 뺀 나머지'입니다.</w:t>
      </w:r>
      <w:r>
        <w:rPr>
          <w:rFonts w:ascii="Malgun Gothic" w:cs="Malgun Gothic" w:eastAsia="Malgun Gothic" w:hAnsi="Malgun Gothic"/>
          <w:sz w:val="19"/>
          <w:szCs w:val="19"/>
        </w:rPr>
        <w:t xml:space="preserve"> 즉 회사 금고에 $78B가 쌓여 있다는 뜻은 아니고, 그보다 많이 가지고 있으면서 빚도 함께 지고 있습니다.</w:t>
      </w:r>
    </w:p>
    <w:tbl>
      <w:tblPr>
        <w:tblW w:type="dxa" w:w="9360"/>
        <w:tblBorders>
          <w:top w:val="single" w:color="BFBFBF" w:sz="2"/>
          <w:left w:val="none"/>
          <w:bottom w:val="single" w:color="BFBFBF" w:sz="2"/>
          <w:right w:val="none"/>
          <w:insideH w:val="single" w:color="D9D9D9" w:sz="1"/>
          <w:insideV w:val="none"/>
        </w:tblBorders>
      </w:tblPr>
      <w:tblGrid>
        <w:gridCol w:w="3250"/>
        <w:gridCol w:w="1820"/>
        <w:gridCol w:w="4290"/>
      </w:tblGrid>
      <w:tr>
        <w:trPr>
          <w:tblHeader/>
        </w:trPr>
        <w:tc>
          <w:tcPr>
            <w:tcW w:type="dxa" w:w="32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82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 금액</w:t>
            </w:r>
          </w:p>
        </w:tc>
        <w:tc>
          <w:tcPr>
            <w:tcW w:type="dxa" w:w="42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32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현금 및 현금성자산 + 단기투자자산</w:t>
            </w:r>
          </w:p>
        </w:tc>
        <w:tc>
          <w:tcPr>
            <w:tcW w:type="dxa" w:w="18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$126.8B</w:t>
            </w:r>
          </w:p>
        </w:tc>
        <w:tc>
          <w:tcPr>
            <w:tcW w:type="dxa" w:w="42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예금, MMF, 만기 1년 내 국채·회사채 등 즉시 현금화 가능한 자산</w:t>
            </w:r>
          </w:p>
        </w:tc>
      </w:tr>
      <w:tr>
        <w:tc>
          <w:tcPr>
            <w:tcW w:type="dxa" w:w="32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 이자부부채 (단기 + 장기)</w:t>
            </w:r>
          </w:p>
        </w:tc>
        <w:tc>
          <w:tcPr>
            <w:tcW w:type="dxa" w:w="18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−$49.1B</w:t>
            </w:r>
          </w:p>
        </w:tc>
        <w:tc>
          <w:tcPr>
            <w:tcW w:type="dxa" w:w="42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회사채 등 이자를 물고 있는 차입금 전액</w:t>
            </w:r>
          </w:p>
        </w:tc>
      </w:tr>
      <w:tr>
        <w:tc>
          <w:tcPr>
            <w:tcW w:type="dxa" w:w="32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 순현금</w:t>
            </w:r>
          </w:p>
        </w:tc>
        <w:tc>
          <w:tcPr>
            <w:tcW w:type="dxa" w:w="18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$77.8B</w:t>
            </w:r>
          </w:p>
        </w:tc>
        <w:tc>
          <w:tcPr>
            <w:tcW w:type="dxa" w:w="42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빚을 다 갚고도 남는 현금</w:t>
            </w:r>
          </w:p>
        </w:tc>
      </w:tr>
    </w:tbl>
    <w:p>
      <w:pPr>
        <w:spacing w:after="200"/>
      </w:pPr>
    </w:p>
    <w:p>
      <w:pPr>
        <w:spacing w:after="140" w:line="288"/>
      </w:pPr>
      <w:r>
        <w:rPr>
          <w:rFonts w:ascii="Malgun Gothic" w:cs="Malgun Gothic" w:eastAsia="Malgun Gothic" w:hAnsi="Malgun Gothic"/>
          <w:sz w:val="19"/>
          <w:szCs w:val="19"/>
        </w:rPr>
        <w:t xml:space="preserve">세 가지를 덧붙입니다.</w:t>
      </w:r>
    </w:p>
    <w:p>
      <w:pPr>
        <w:pStyle w:val="ListParagraph"/>
        <w:numPr>
          <w:ilvl w:val="0"/>
          <w:numId w:val="2"/>
        </w:numPr>
        <w:spacing w:after="120" w:line="284"/>
      </w:pPr>
      <w:r>
        <w:rPr>
          <w:rFonts w:ascii="Malgun Gothic" w:cs="Malgun Gothic" w:eastAsia="Malgun Gothic" w:hAnsi="Malgun Gothic"/>
          <w:b/>
          <w:bCs/>
          <w:sz w:val="19"/>
          <w:szCs w:val="19"/>
        </w:rPr>
        <w:t xml:space="preserve">'현금'이라고 부르지만 은행 잔고만이 아닙니다.</w:t>
      </w:r>
      <w:r>
        <w:rPr>
          <w:rFonts w:ascii="Malgun Gothic" w:cs="Malgun Gothic" w:eastAsia="Malgun Gothic" w:hAnsi="Malgun Gothic"/>
          <w:sz w:val="19"/>
          <w:szCs w:val="19"/>
        </w:rPr>
        <w:t xml:space="preserve"> 대부분은 단기 유가증권입니다. 이 분석에서는 현금성자산과 단기투자자산을 하나로 묶어 읽었습니다(알파벳이 쓰는 XBRL 태그가 이미 둘을 합산한 값입니다). 회사마다 이 둘의 계정 분류가 달라서, 나누어 보면 비교가 어긋나기 때문입니다.</w:t>
      </w:r>
    </w:p>
    <w:p>
      <w:pPr>
        <w:pStyle w:val="ListParagraph"/>
        <w:numPr>
          <w:ilvl w:val="0"/>
          <w:numId w:val="2"/>
        </w:numPr>
        <w:spacing w:after="120" w:line="284"/>
      </w:pPr>
      <w:r>
        <w:rPr>
          <w:rFonts w:ascii="Malgun Gothic" w:cs="Malgun Gothic" w:eastAsia="Malgun Gothic" w:hAnsi="Malgun Gothic"/>
          <w:b/>
          <w:bCs/>
          <w:sz w:val="19"/>
          <w:szCs w:val="19"/>
        </w:rPr>
        <w:t xml:space="preserve">빚이 없는 회사라는 뜻이 아닙니다.</w:t>
      </w:r>
      <w:r>
        <w:rPr>
          <w:rFonts w:ascii="Malgun Gothic" w:cs="Malgun Gothic" w:eastAsia="Malgun Gothic" w:hAnsi="Malgun Gothic"/>
          <w:sz w:val="19"/>
          <w:szCs w:val="19"/>
        </w:rPr>
        <w:t xml:space="preserve"> 알파벳은 $49.1B의 이자부부채를 지고 있고, 이는 FY2024의 $14.3B에서 크게 늘어난 것입니다. 데이터센터 투자 자금을 채권 발행으로 조달했기 때문입니다. 순현금이 여전히 플러스인 것은 현금이 그보다 더 많기 때문이지, 차입을 안 해서가 아닙니다.</w:t>
      </w:r>
    </w:p>
    <w:p>
      <w:pPr>
        <w:pStyle w:val="ListParagraph"/>
        <w:numPr>
          <w:ilvl w:val="0"/>
          <w:numId w:val="2"/>
        </w:numPr>
        <w:spacing w:after="120" w:line="284"/>
      </w:pPr>
      <w:r>
        <w:rPr>
          <w:rFonts w:ascii="Malgun Gothic" w:cs="Malgun Gothic" w:eastAsia="Malgun Gothic" w:hAnsi="Malgun Gothic"/>
          <w:b/>
          <w:bCs/>
          <w:sz w:val="19"/>
          <w:szCs w:val="19"/>
        </w:rPr>
        <w:t xml:space="preserve">이 돈은 밸류에이션에서 두 번 세면 안 됩니다.</w:t>
      </w:r>
      <w:r>
        <w:rPr>
          <w:rFonts w:ascii="Malgun Gothic" w:cs="Malgun Gothic" w:eastAsia="Malgun Gothic" w:hAnsi="Malgun Gothic"/>
          <w:sz w:val="19"/>
          <w:szCs w:val="19"/>
        </w:rPr>
        <w:t xml:space="preserve"> DCF로 계산한 내재가치는 사업이 만들어낼 미래 현금의 현재가치이고, 순현금은 그와 별개로 이미 존재하는 자산입니다. 그래서 이 보고서는 '내재가치 + 순현금 vs 시가총액'으로 비교하며, 순현금은 시가총액 $4,305B의 1.8%에 해당합니다.</w:t>
      </w:r>
    </w:p>
    <w:p>
      <w:pPr>
        <w:spacing w:after="140" w:line="288"/>
      </w:pPr>
      <w:r>
        <w:rPr>
          <w:rFonts w:ascii="Malgun Gothic" w:cs="Malgun Gothic" w:eastAsia="Malgun Gothic" w:hAnsi="Malgun Gothic"/>
          <w:sz w:val="19"/>
          <w:szCs w:val="19"/>
        </w:rPr>
        <w:t xml:space="preserve">의미 면에서 순현금 상태는 버핏 기준에서 두 가지로 읽힙니다. 하나는 </w:t>
      </w:r>
      <w:r>
        <w:rPr>
          <w:rFonts w:ascii="Malgun Gothic" w:cs="Malgun Gothic" w:eastAsia="Malgun Gothic" w:hAnsi="Malgun Gothic"/>
          <w:b/>
          <w:bCs/>
          <w:sz w:val="19"/>
          <w:szCs w:val="19"/>
        </w:rPr>
        <w:t xml:space="preserve">안전</w:t>
      </w:r>
      <w:r>
        <w:rPr>
          <w:rFonts w:ascii="Malgun Gothic" w:cs="Malgun Gothic" w:eastAsia="Malgun Gothic" w:hAnsi="Malgun Gothic"/>
          <w:sz w:val="19"/>
          <w:szCs w:val="19"/>
        </w:rPr>
        <w:t xml:space="preserve"> — 어떤 불황에서도 재무적으로 무너지지 않는다는 뜻이고, 실제로 알파벳의 이자보상배율은 175x입니다. 다른 하나는 </w:t>
      </w:r>
      <w:r>
        <w:rPr>
          <w:rFonts w:ascii="Malgun Gothic" w:cs="Malgun Gothic" w:eastAsia="Malgun Gothic" w:hAnsi="Malgun Gothic"/>
          <w:b/>
          <w:bCs/>
          <w:sz w:val="19"/>
          <w:szCs w:val="19"/>
        </w:rPr>
        <w:t xml:space="preserve">미배분 자본</w:t>
      </w:r>
      <w:r>
        <w:rPr>
          <w:rFonts w:ascii="Malgun Gothic" w:cs="Malgun Gothic" w:eastAsia="Malgun Gothic" w:hAnsi="Malgun Gothic"/>
          <w:sz w:val="19"/>
          <w:szCs w:val="19"/>
        </w:rPr>
        <w:t xml:space="preserve"> — 메모 ③에서 본 대로 이 돈은 사업 수익률이 아니라 국채 수준으로 굴고 있어서, 아직 일하지 않고 있는 주주 자본입니다.</w:t>
      </w:r>
    </w:p>
    <w:p>
      <w:pPr>
        <w:pStyle w:val="Heading1"/>
        <w:spacing w:after="160" w:before="400"/>
      </w:pPr>
      <w:r>
        <w:rPr>
          <w:rFonts w:ascii="Malgun Gothic" w:cs="Malgun Gothic" w:eastAsia="Malgun Gothic" w:hAnsi="Malgun Gothic"/>
          <w:b/>
          <w:bCs/>
          <w:color w:val="1F3864"/>
          <w:sz w:val="28"/>
          <w:szCs w:val="28"/>
        </w:rPr>
        <w:t xml:space="preserve">2부. 버핏의 투자 기준 — 책의 내용과 주주서한을 합쳐 정리</w:t>
      </w:r>
    </w:p>
    <w:p>
      <w:pPr>
        <w:spacing w:after="140" w:line="288"/>
      </w:pPr>
      <w:r>
        <w:rPr>
          <w:rFonts w:ascii="Malgun Gothic" w:cs="Malgun Gothic" w:eastAsia="Malgun Gothic" w:hAnsi="Malgun Gothic"/>
          <w:sz w:val="19"/>
          <w:szCs w:val="19"/>
        </w:rPr>
        <w:t xml:space="preserve">보내주신 책 정리는 버핏의 방법론을 잘 요약하고 있습니다. 여기서는 그 뼈대를 그대로 쓰되, 각 항목이 버핏 본인의 문장 어디에서 나오는지를 주주서한 원문으로 확인해 붙였습니다. 알파벳 판정에 쓸 기준이므로 해석의 여지를 최대한 줄이기 위해서입니다.</w:t>
      </w:r>
    </w:p>
    <w:p>
      <w:pPr>
        <w:pStyle w:val="Heading2"/>
        <w:spacing w:after="120" w:before="300"/>
      </w:pPr>
      <w:r>
        <w:rPr>
          <w:rFonts w:ascii="Malgun Gothic" w:cs="Malgun Gothic" w:eastAsia="Malgun Gothic" w:hAnsi="Malgun Gothic"/>
          <w:b/>
          <w:bCs/>
          <w:color w:val="1F3864"/>
          <w:sz w:val="23"/>
          <w:szCs w:val="23"/>
        </w:rPr>
        <w:t xml:space="preserve">2.1 출발점 — 네 가지 질문</w:t>
      </w:r>
    </w:p>
    <w:p>
      <w:pPr>
        <w:spacing w:after="140" w:line="288"/>
      </w:pPr>
      <w:r>
        <w:rPr>
          <w:rFonts w:ascii="Malgun Gothic" w:cs="Malgun Gothic" w:eastAsia="Malgun Gothic" w:hAnsi="Malgun Gothic"/>
          <w:sz w:val="19"/>
          <w:szCs w:val="19"/>
        </w:rPr>
        <w:t xml:space="preserve">버핏이 가장 일찍, 가장 자주 반복한 형태입니다. 1977년 서한에 처음 나오고 30년 뒤 2007년 서한에 거의 같은 문장으로 다시 등장합니다.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"우리는 시장성 있는 주식을 고를 때, 기업 전체를 인수할 때와 똑같은 방식으로 평가한다. 우리가 원하는 사업은 (1) 우리가 이해할 수 있고, (2) 장기 전망이 우호적이며, (3) 정직하고 유능한 사람들이 경영하고, (4) 매우 매력적인 가격에 살 수 있는 사업이다."</w:t>
      </w:r>
    </w:p>
    <w:p>
      <w:pPr>
        <w:spacing w:after="200"/>
        <w:ind w:left="360"/>
        <w:jc w:val="right"/>
      </w:pPr>
      <w:r>
        <w:rPr>
          <w:rFonts w:ascii="Malgun Gothic" w:cs="Malgun Gothic" w:eastAsia="Malgun Gothic" w:hAnsi="Malgun Gothic"/>
          <w:color w:val="595959"/>
          <w:sz w:val="16"/>
          <w:szCs w:val="16"/>
        </w:rPr>
        <w:t xml:space="preserve">— 버크셔 해서웨이 1977년 주주서한</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"찰리와 나는 (a) 우리가 이해하는 사업, (b) 우호적인 장기 경제성, (c) 유능하고 신뢰할 수 있는 경영진, (d) 합리적인 가격표를 가진 회사를 찾는다."</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spacing w:after="140" w:line="288"/>
      </w:pPr>
      <w:r>
        <w:rPr>
          <w:rFonts w:ascii="Malgun Gothic" w:cs="Malgun Gothic" w:eastAsia="Malgun Gothic" w:hAnsi="Malgun Gothic"/>
          <w:sz w:val="19"/>
          <w:szCs w:val="19"/>
        </w:rPr>
        <w:t xml:space="preserve">책에서 정리하신 '네 가지 핵심 질문'(장기 경제성 / 경영진의 잠재력 실현 능력 / 경영진의 주주 지향성 / 매수 가격의 합리성)과 같은 틀입니다. 순서가 중요합니다 — 가격은 언제나 마지막입니다.</w:t>
      </w:r>
    </w:p>
    <w:p>
      <w:pPr>
        <w:pStyle w:val="Heading2"/>
        <w:spacing w:after="120" w:before="300"/>
      </w:pPr>
      <w:r>
        <w:rPr>
          <w:rFonts w:ascii="Malgun Gothic" w:cs="Malgun Gothic" w:eastAsia="Malgun Gothic" w:hAnsi="Malgun Gothic"/>
          <w:b/>
          <w:bCs/>
          <w:color w:val="1F3864"/>
          <w:sz w:val="23"/>
          <w:szCs w:val="23"/>
        </w:rPr>
        <w:t xml:space="preserve">2.2 무엇으로 재는가 — 주주이익</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"이것들이 이른바 '주주이익(owner earnings)'이라 부를 만한 것이다. 주주이익은 (a) 보고이익에 (b) 감가상각·감모상각·상각 및 기타 비현금 비용을 더하고, (c) 사업이 장기적 경쟁 지위와 판매량을 온전히 유지하기 위해 필요로 하는 설비·시설에 대한 연평균 자본적 지출을 뺀 것이다. (사업이 경쟁 지위와 판매량을 유지하기 위해 추가 운전자본을 필요로 한다면 그 증가분도 (c)에 포함해야 한다.) (…) 우리는 GAAP 수치가 아니라 이 주주이익 수치가 평가 목적에 유의미한 항목이라고 본다."</w:t>
      </w:r>
    </w:p>
    <w:p>
      <w:pPr>
        <w:spacing w:after="200"/>
        <w:ind w:left="360"/>
        <w:jc w:val="right"/>
      </w:pPr>
      <w:r>
        <w:rPr>
          <w:rFonts w:ascii="Malgun Gothic" w:cs="Malgun Gothic" w:eastAsia="Malgun Gothic" w:hAnsi="Malgun Gothic"/>
          <w:color w:val="595959"/>
          <w:sz w:val="16"/>
          <w:szCs w:val="16"/>
        </w:rPr>
        <w:t xml:space="preserve">— 버크셔 해서웨이 1986년 주주서한</w:t>
      </w:r>
    </w:p>
    <w:p>
      <w:pPr>
        <w:spacing w:after="140" w:line="288"/>
      </w:pPr>
      <w:r>
        <w:rPr>
          <w:rFonts w:ascii="Malgun Gothic" w:cs="Malgun Gothic" w:eastAsia="Malgun Gothic" w:hAnsi="Malgun Gothic"/>
          <w:sz w:val="19"/>
          <w:szCs w:val="19"/>
        </w:rPr>
        <w:t xml:space="preserve">두 가지가 이 정의의 핵심이고, 둘 다 이 분석에 그대로 반영되어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설비투자 전액이 아니라 '유지에 필요한' 설비투자를 뺍니다.</w:t>
      </w:r>
      <w:r>
        <w:rPr>
          <w:rFonts w:ascii="Malgun Gothic" w:cs="Malgun Gothic" w:eastAsia="Malgun Gothic" w:hAnsi="Malgun Gothic"/>
          <w:sz w:val="19"/>
          <w:szCs w:val="19"/>
        </w:rPr>
        <w:t xml:space="preserve"> 성장을 위한 투자까지 차감하면 성장 투자가 사업 악화로 읽힙니다. 알파벳 FY2025는 설비투자 $91.4B에 감가상각 $21.1B이므로 이 구분이 결정적입니다. 그래서 이 보고서는 하나의 값이 아니라 밴드로 제시합니다.</w:t>
      </w:r>
    </w:p>
    <w:p>
      <w:pPr>
        <w:pStyle w:val="ListParagraph"/>
        <w:numPr>
          <w:ilvl w:val="0"/>
          <w:numId w:val="2"/>
        </w:numPr>
        <w:spacing w:after="120" w:line="284"/>
      </w:pPr>
      <w:r>
        <w:rPr>
          <w:rFonts w:ascii="Malgun Gothic" w:cs="Malgun Gothic" w:eastAsia="Malgun Gothic" w:hAnsi="Malgun Gothic"/>
          <w:b/>
          <w:bCs/>
          <w:sz w:val="19"/>
          <w:szCs w:val="19"/>
        </w:rPr>
        <w:t xml:space="preserve">(c)는 추정치입니다.</w:t>
      </w:r>
      <w:r>
        <w:rPr>
          <w:rFonts w:ascii="Malgun Gothic" w:cs="Malgun Gothic" w:eastAsia="Malgun Gothic" w:hAnsi="Malgun Gothic"/>
          <w:sz w:val="19"/>
          <w:szCs w:val="19"/>
        </w:rPr>
        <w:t xml:space="preserve"> 버핏 본인이 "(c)는 추측일 수밖에 없고, 때로는 매우 어려운 추측"이라고 못박고 곧바로 케인스를 인용합니다 — "정밀하게 틀리느니 대충이라도 맞는 편이 낫다." 내재가치를 점이 아니라 범위로 제시하는 근거가 여기입니다.</w:t>
      </w:r>
    </w:p>
    <w:p>
      <w:pPr>
        <w:pStyle w:val="Heading2"/>
        <w:spacing w:after="120" w:before="300"/>
      </w:pPr>
      <w:r>
        <w:rPr>
          <w:rFonts w:ascii="Malgun Gothic" w:cs="Malgun Gothic" w:eastAsia="Malgun Gothic" w:hAnsi="Malgun Gothic"/>
          <w:b/>
          <w:bCs/>
          <w:color w:val="1F3864"/>
          <w:sz w:val="23"/>
          <w:szCs w:val="23"/>
        </w:rPr>
        <w:t xml:space="preserve">2.3 무엇이 좋은 사업인가 — 필요 자본이 적고, 해자가 있는 사업</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"우리는 시즈캔디를 매출이 3,000만 달러이고 세전이익이 500만 달러가 채 되지 않던 때에 2,500만 달러에 샀다. 그 사업을 영위하는 데 당시 필요했던 자본은 800만 달러였다. 따라서 회사는 투하자본에 대해 세전 60%를 벌고 있었다. (…) 매출이 늘어남에 따라 자본이 그에 비례해 늘어나야 하고 고정자산 투자 소요가 큰 사업과는 다르다. (…) 사실상 큰 자본 소요 없이 계속 늘어나는 이익 흐름을 갖는 편이 훨씬 낫다. 마이크로소프트나 구글에 물어보라."</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spacing w:after="140" w:line="288"/>
      </w:pPr>
      <w:r>
        <w:rPr>
          <w:rFonts w:ascii="Malgun Gothic" w:cs="Malgun Gothic" w:eastAsia="Malgun Gothic" w:hAnsi="Malgun Gothic"/>
          <w:sz w:val="19"/>
          <w:szCs w:val="19"/>
        </w:rPr>
        <w:t xml:space="preserve">이 문단이 이 분석의 ROIC 분모를 정한 근거입니다. 버핏의 분모는 총자산이 아니라 </w:t>
      </w:r>
      <w:r>
        <w:rPr>
          <w:rFonts w:ascii="Malgun Gothic" w:cs="Malgun Gothic" w:eastAsia="Malgun Gothic" w:hAnsi="Malgun Gothic"/>
          <w:b/>
          <w:bCs/>
          <w:sz w:val="19"/>
          <w:szCs w:val="19"/>
        </w:rPr>
        <w:t xml:space="preserve">'사업을 영위하는 데 필요한 자본'</w:t>
      </w:r>
      <w:r>
        <w:rPr>
          <w:rFonts w:ascii="Malgun Gothic" w:cs="Malgun Gothic" w:eastAsia="Malgun Gothic" w:hAnsi="Malgun Gothic"/>
          <w:sz w:val="19"/>
          <w:szCs w:val="19"/>
        </w:rPr>
        <w:t xml:space="preserve">이고, 그래서 이 보고서는 자기자본 + 이자부부채 − 현금을 씁니다. 자본이 거의 필요 없어서 ROIC가 세 자릿수로 나오는 것은 이상치가 아니라 발견이며, 버핏이 그 원형으로 지목한 회사가 다름 아닌 구글입니다.</w:t>
      </w:r>
    </w:p>
    <w:p>
      <w:pPr>
        <w:spacing w:after="140" w:line="288"/>
      </w:pPr>
      <w:r>
        <w:rPr>
          <w:rFonts w:ascii="Malgun Gothic" w:cs="Malgun Gothic" w:eastAsia="Malgun Gothic" w:hAnsi="Malgun Gothic"/>
          <w:sz w:val="19"/>
          <w:szCs w:val="19"/>
        </w:rPr>
        <w:t xml:space="preserve">해자에 대해서는 2.1에서 인용한 2007년 서한의 문장이 정의입니다 — '지속적인 해자', '로마의 촛불(잠깐 타오르다 꺼지는 회사)', '계속 다시 쌓아야 하는 해자는 결국 해자가 아니다'. 그리고 결정적으로:</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"이 기준은 성공이 뛰어난 경영자에게 달려 있는 사업도 걸러낸다. (…) 사업이 훌륭한 결과를 내기 위해 슈퍼스타를 필요로 한다면, 그 사업은 위대하다고 볼 수 없다."</w:t>
      </w:r>
    </w:p>
    <w:p>
      <w:pPr>
        <w:spacing w:after="200"/>
        <w:ind w:left="360"/>
        <w:jc w:val="right"/>
      </w:pPr>
      <w:r>
        <w:rPr>
          <w:rFonts w:ascii="Malgun Gothic" w:cs="Malgun Gothic" w:eastAsia="Malgun Gothic" w:hAnsi="Malgun Gothic"/>
          <w:color w:val="595959"/>
          <w:sz w:val="16"/>
          <w:szCs w:val="16"/>
        </w:rPr>
        <w:t xml:space="preserve">— 버크셔 해서웨이 2007년 주주서한</w:t>
      </w:r>
    </w:p>
    <w:p>
      <w:pPr>
        <w:pStyle w:val="Heading2"/>
        <w:spacing w:after="120" w:before="300"/>
      </w:pPr>
      <w:r>
        <w:rPr>
          <w:rFonts w:ascii="Malgun Gothic" w:cs="Malgun Gothic" w:eastAsia="Malgun Gothic" w:hAnsi="Malgun Gothic"/>
          <w:b/>
          <w:bCs/>
          <w:color w:val="1F3864"/>
          <w:sz w:val="23"/>
          <w:szCs w:val="23"/>
        </w:rPr>
        <w:t xml:space="preserve">2.4 성장은 언제 가치인가</w:t>
      </w:r>
    </w:p>
    <w:p>
      <w:pPr>
        <w:spacing w:after="140" w:line="288"/>
      </w:pPr>
      <w:r>
        <w:rPr>
          <w:rFonts w:ascii="Malgun Gothic" w:cs="Malgun Gothic" w:eastAsia="Malgun Gothic" w:hAnsi="Malgun Gothic"/>
          <w:sz w:val="19"/>
          <w:szCs w:val="19"/>
        </w:rPr>
        <w:t xml:space="preserve">2부 메모 ②에서 인용한 1992년 서한의 문장이 그대로 기준입니다. 성장 자체는 중립이고, </w:t>
      </w:r>
      <w:r>
        <w:rPr>
          <w:rFonts w:ascii="Malgun Gothic" w:cs="Malgun Gothic" w:eastAsia="Malgun Gothic" w:hAnsi="Malgun Gothic"/>
          <w:b/>
          <w:bCs/>
          <w:sz w:val="19"/>
          <w:szCs w:val="19"/>
        </w:rPr>
        <w:t xml:space="preserve">증분 수익률이 자본비용을 넘을 때만</w:t>
      </w:r>
      <w:r>
        <w:rPr>
          <w:rFonts w:ascii="Malgun Gothic" w:cs="Malgun Gothic" w:eastAsia="Malgun Gothic" w:hAnsi="Malgun Gothic"/>
          <w:sz w:val="19"/>
          <w:szCs w:val="19"/>
        </w:rPr>
        <w:t xml:space="preserve"> 가치가 됩니다. 책에서 정리하신 '높은 ROIC로 재투자할 수 있는 기업'과 같은 이야기입니다. 그리고 같은 서한에 가치와 성장을 가르는 통념 자체에 대한 반박이 있습니다.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"사람들은 대개 '가치'와 '성장'이라는, 흔히 대립한다고 여겨지는 두 접근 중 하나를 골라야 한다고 느낀다. (…) 우리가 보기에 두 접근은 엉덩이가 붙어 있다(joined at the hip). 성장은 언제나 가치 계산의 한 구성요소이며, 그 중요도는 무시할 만한 수준에서 엄청난 수준까지 이르고, 그 영향은 부정적일 수도 긍정적일 수도 있다."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pStyle w:val="Heading2"/>
        <w:spacing w:after="120" w:before="300"/>
      </w:pPr>
      <w:r>
        <w:rPr>
          <w:rFonts w:ascii="Malgun Gothic" w:cs="Malgun Gothic" w:eastAsia="Malgun Gothic" w:hAnsi="Malgun Gothic"/>
          <w:b/>
          <w:bCs/>
          <w:color w:val="1F3864"/>
          <w:sz w:val="23"/>
          <w:szCs w:val="23"/>
        </w:rPr>
        <w:t xml:space="preserve">2.5 가격 — 가치는 할인된 현금흐름이다</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"50여 년 전에 쓰인 『투자가치이론』에서 존 버 윌리엄스는 가치의 방정식을 제시했고, 우리는 그것을 이렇게 요약한다. 오늘 어떤 주식, 채권, 사업의 가치는 그 자산의 남은 수명 동안 발생할 것으로 기대되는 현금 유입과 유출을 적절한 이자율로 할인한 값으로 결정된다. (…) 할인현금흐름 계산으로 가장 싸다고 나오는 투자가, 그 사업이 성장하든 않든, 이익이 들쭉날쭉하든 매끄럽든, 현재 이익이나 장부가 대비 주가가 높든 낮든 상관없이, 투자자가 사야 할 투자다."</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spacing w:after="140" w:line="288"/>
      </w:pPr>
      <w:r>
        <w:rPr>
          <w:rFonts w:ascii="Malgun Gothic" w:cs="Malgun Gothic" w:eastAsia="Malgun Gothic" w:hAnsi="Malgun Gothic"/>
          <w:sz w:val="19"/>
          <w:szCs w:val="19"/>
        </w:rPr>
        <w:t xml:space="preserve">책에서 말씀하신 '3단계 가치평가(PER·PBR·PSR → 미래 현금흐름 → 네트워크·잠금 효과)'의 2단계가 이것이고, 버핏 본인은 1단계 배수를 가치의 판정 기준으로 인정하지 않습니다. 위 인용의 마지막 문장이 명시적으로 그렇게 말합니다.</w:t>
      </w:r>
    </w:p>
    <w:p>
      <w:pPr>
        <w:pStyle w:val="Heading2"/>
        <w:spacing w:after="120" w:before="300"/>
      </w:pPr>
      <w:r>
        <w:rPr>
          <w:rFonts w:ascii="Malgun Gothic" w:cs="Malgun Gothic" w:eastAsia="Malgun Gothic" w:hAnsi="Malgun Gothic"/>
          <w:b/>
          <w:bCs/>
          <w:color w:val="1F3864"/>
          <w:sz w:val="23"/>
          <w:szCs w:val="23"/>
        </w:rPr>
        <w:t xml:space="preserve">2.6 비용은 비용이다 — 회계에 대한 태도</w:t>
      </w:r>
    </w:p>
    <w:p>
      <w:pPr>
        <w:pBdr>
          <w:left w:val="single" w:color="1F3864" w:sz="18" w:space="12"/>
        </w:pBdr>
        <w:spacing w:after="40" w:before="160" w:line="280"/>
        <w:ind w:left="360" w:right="200"/>
      </w:pPr>
      <w:r>
        <w:rPr>
          <w:rFonts w:ascii="Malgun Gothic" w:cs="Malgun Gothic" w:eastAsia="Malgun Gothic" w:hAnsi="Malgun Gothic"/>
          <w:i/>
          <w:iCs/>
          <w:color w:val="1A1A1A"/>
          <w:sz w:val="18"/>
          <w:szCs w:val="18"/>
        </w:rPr>
        <w:t xml:space="preserve">"스톡옵션이 보상의 한 형태가 아니라면 도대체 무엇인가? 보상이 비용이 아니라면 무엇인가? 그리고 비용이 이익 계산에 들어가지 않는다면, 도대체 어디로 들어가야 하는가?"</w:t>
      </w:r>
    </w:p>
    <w:p>
      <w:pPr>
        <w:spacing w:after="200"/>
        <w:ind w:left="360"/>
        <w:jc w:val="right"/>
      </w:pPr>
      <w:r>
        <w:rPr>
          <w:rFonts w:ascii="Malgun Gothic" w:cs="Malgun Gothic" w:eastAsia="Malgun Gothic" w:hAnsi="Malgun Gothic"/>
          <w:color w:val="595959"/>
          <w:sz w:val="16"/>
          <w:szCs w:val="16"/>
        </w:rPr>
        <w:t xml:space="preserve">— 버크셔 해서웨이 1992년 주주서한</w:t>
      </w:r>
    </w:p>
    <w:p>
      <w:pPr>
        <w:spacing w:after="140" w:line="288"/>
      </w:pPr>
      <w:r>
        <w:rPr>
          <w:rFonts w:ascii="Malgun Gothic" w:cs="Malgun Gothic" w:eastAsia="Malgun Gothic" w:hAnsi="Malgun Gothic"/>
          <w:sz w:val="19"/>
          <w:szCs w:val="19"/>
        </w:rPr>
        <w:t xml:space="preserve">버핏은 회계 규칙이 사업의 실상을 가릴 때 규칙이 아니라 실상을 따릅니다. 이번 교정에서 투자평가손익을 주주이익에서 걷어내고, 주식보상비용의 되더하기를 되돌린 것이 같은 원칙의 적용입니다(4부).</w:t>
      </w:r>
    </w:p>
    <w:p>
      <w:pPr>
        <w:pStyle w:val="Heading2"/>
        <w:spacing w:after="120" w:before="300"/>
      </w:pPr>
      <w:r>
        <w:rPr>
          <w:rFonts w:ascii="Malgun Gothic" w:cs="Malgun Gothic" w:eastAsia="Malgun Gothic" w:hAnsi="Malgun Gothic"/>
          <w:b/>
          <w:bCs/>
          <w:color w:val="1F3864"/>
          <w:sz w:val="23"/>
          <w:szCs w:val="23"/>
        </w:rPr>
        <w:t xml:space="preserve">2.7 체크리스트</w:t>
      </w:r>
    </w:p>
    <w:p>
      <w:pPr>
        <w:spacing w:after="140" w:line="288"/>
      </w:pPr>
      <w:r>
        <w:rPr>
          <w:rFonts w:ascii="Malgun Gothic" w:cs="Malgun Gothic" w:eastAsia="Malgun Gothic" w:hAnsi="Malgun Gothic"/>
          <w:sz w:val="19"/>
          <w:szCs w:val="19"/>
        </w:rPr>
        <w:t xml:space="preserve">위를 알파벳에 적용할 수 있는 형태로 압축하면 다음 7개 항목입니다. 3부는 이 순서대로 진행합니다.</w:t>
      </w:r>
    </w:p>
    <w:tbl>
      <w:tblPr>
        <w:tblW w:type="dxa" w:w="9360"/>
        <w:tblBorders>
          <w:top w:val="single" w:color="BFBFBF" w:sz="2"/>
          <w:left w:val="none"/>
          <w:bottom w:val="single" w:color="BFBFBF" w:sz="2"/>
          <w:right w:val="none"/>
          <w:insideH w:val="single" w:color="D9D9D9" w:sz="1"/>
          <w:insideV w:val="none"/>
        </w:tblBorders>
      </w:tblPr>
      <w:tblGrid>
        <w:gridCol w:w="455"/>
        <w:gridCol w:w="3380"/>
        <w:gridCol w:w="1690"/>
        <w:gridCol w:w="3835"/>
      </w:tblGrid>
      <w:tr>
        <w:trPr>
          <w:tblHeader/>
        </w:trPr>
        <w:tc>
          <w:tcPr>
            <w:tcW w:type="dxa" w:w="4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t>
            </w:r>
          </w:p>
        </w:tc>
        <w:tc>
          <w:tcPr>
            <w:tcW w:type="dxa" w:w="33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6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출처</w:t>
            </w:r>
          </w:p>
        </w:tc>
        <w:tc>
          <w:tcPr>
            <w:tcW w:type="dxa" w:w="383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 지표</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이해할 수 있는 사업인가</w:t>
            </w:r>
          </w:p>
        </w:tc>
        <w:tc>
          <w:tcPr>
            <w:tcW w:type="dxa" w:w="16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1977 · 2007</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정성</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33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기존 자본이 자본비용 이상을 버는가</w:t>
            </w:r>
          </w:p>
        </w:tc>
        <w:tc>
          <w:tcPr>
            <w:tcW w:type="dxa" w:w="16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2007 (시즈캔디)</w:t>
            </w:r>
          </w:p>
        </w:tc>
        <w:tc>
          <w:tcPr>
            <w:tcW w:type="dxa" w:w="38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vs WACC</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그 수익률이 지속되는가 (해자)</w:t>
            </w:r>
          </w:p>
        </w:tc>
        <w:tc>
          <w:tcPr>
            <w:tcW w:type="dxa" w:w="16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2007</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두자릿수 유지 연수, ROIC 변동성</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33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자본도 높은 수익률로 투입되는가</w:t>
            </w:r>
          </w:p>
        </w:tc>
        <w:tc>
          <w:tcPr>
            <w:tcW w:type="dxa" w:w="16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1992</w:t>
            </w:r>
          </w:p>
        </w:tc>
        <w:tc>
          <w:tcPr>
            <w:tcW w:type="dxa" w:w="38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 vs WACC</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경영진이 자본을 잘 배분하고 주주와 나누는가</w:t>
            </w:r>
          </w:p>
        </w:tc>
        <w:tc>
          <w:tcPr>
            <w:tcW w:type="dxa" w:w="16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1977 · 1986</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자사주·배당·주식수</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33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이익의 질 — 주주이익이 회계이익과 일치하는가</w:t>
            </w:r>
          </w:p>
        </w:tc>
        <w:tc>
          <w:tcPr>
            <w:tcW w:type="dxa" w:w="16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1986 · 1992</w:t>
            </w:r>
          </w:p>
        </w:tc>
        <w:tc>
          <w:tcPr>
            <w:tcW w:type="dxa" w:w="383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주주이익, 회계조정</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33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가격이 합리적인가</w:t>
            </w:r>
          </w:p>
        </w:tc>
        <w:tc>
          <w:tcPr>
            <w:tcW w:type="dxa" w:w="16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1992 (윌리엄스)</w:t>
            </w:r>
          </w:p>
        </w:tc>
        <w:tc>
          <w:tcPr>
            <w:tcW w:type="dxa" w:w="383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DCF 내재가치 vs 시가총액</w:t>
            </w:r>
          </w:p>
        </w:tc>
      </w:tr>
    </w:tbl>
    <w:p>
      <w:pPr>
        <w:spacing w:after="200"/>
      </w:pPr>
    </w:p>
    <w:p>
      <w:pPr>
        <w:pStyle w:val="Heading1"/>
        <w:spacing w:after="160" w:before="400"/>
      </w:pPr>
      <w:r>
        <w:rPr>
          <w:rFonts w:ascii="Malgun Gothic" w:cs="Malgun Gothic" w:eastAsia="Malgun Gothic" w:hAnsi="Malgun Gothic"/>
          <w:b/>
          <w:bCs/>
          <w:color w:val="1F3864"/>
          <w:sz w:val="28"/>
          <w:szCs w:val="28"/>
        </w:rPr>
        <w:t xml:space="preserve">3부. 알파벳을 그 기준에 대입</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기준 시점: 주가 $355.84 (2026-08-10), 주식수 12,097백만주(3개 클래스 합산, 10-K 표지에서 읽음), 시가총액 $4,305B. 재무는 FY2025 10-K (접수번호 0001652044-26-000018) 기준.</w:t>
      </w:r>
    </w:p>
    <w:p>
      <w:pPr>
        <w:pStyle w:val="Heading2"/>
        <w:spacing w:after="120" w:before="300"/>
      </w:pPr>
      <w:r>
        <w:rPr>
          <w:rFonts w:ascii="Malgun Gothic" w:cs="Malgun Gothic" w:eastAsia="Malgun Gothic" w:hAnsi="Malgun Gothic"/>
          <w:b/>
          <w:bCs/>
          <w:color w:val="1F3864"/>
          <w:sz w:val="23"/>
          <w:szCs w:val="23"/>
        </w:rPr>
        <w:t xml:space="preserve">기준 1 — 이해할 수 있는 사업인가</w:t>
      </w:r>
    </w:p>
    <w:p>
      <w:pPr>
        <w:spacing w:after="140" w:line="288"/>
      </w:pPr>
      <w:r>
        <w:rPr>
          <w:rFonts w:ascii="Malgun Gothic" w:cs="Malgun Gothic" w:eastAsia="Malgun Gothic" w:hAnsi="Malgun Gothic"/>
          <w:sz w:val="19"/>
          <w:szCs w:val="19"/>
        </w:rPr>
        <w:t xml:space="preserve">알파벳의 이익은 사실상 한 곳에서 나옵니다. FY2025 부문 영업이익 중 구글 서비스가 $139.4B, 구글 클라우드가 $13.9B, 기타 베팅이 −$7.5B입니다. 검색 광고가 이익의 대부분이고, 그 사업 모델은 30년 가까이 같습니다.</w:t>
      </w:r>
    </w:p>
    <w:p>
      <w:pPr>
        <w:spacing w:after="140" w:line="288"/>
      </w:pPr>
      <w:r>
        <w:rPr>
          <w:rFonts w:ascii="Malgun Gothic" w:cs="Malgun Gothic" w:eastAsia="Malgun Gothic" w:hAnsi="Malgun Gothic"/>
          <w:b/>
          <w:bCs/>
          <w:sz w:val="19"/>
          <w:szCs w:val="19"/>
        </w:rPr>
        <w:t xml:space="preserve">다만 이 기준은 지금 알파벳에서 가장 논쟁적입니다.</w:t>
      </w:r>
      <w:r>
        <w:rPr>
          <w:rFonts w:ascii="Malgun Gothic" w:cs="Malgun Gothic" w:eastAsia="Malgun Gothic" w:hAnsi="Malgun Gothic"/>
          <w:sz w:val="19"/>
          <w:szCs w:val="19"/>
        </w:rPr>
        <w:t xml:space="preserve"> 버핏이 2007년 서한에서 '빠르고 연속적인 변화를 겪는 산업'을 제외 사유로 든 바로 그 조건에, 생성형 AI가 검색을 대체할지 여부라는 질문이 정확히 해당하기 때문입니다. 알파벳은 자기 사업을 잠식할 수 있는 기술에 연 $61.1B의 연구개발비와 $91.4B의 설비투자를 쏟아붓고 있습니다. 사업 자체는 이해하기 쉽지만, 10년 뒤의 모습은 코카콜라만큼 이해하기 쉽지 않습니다. </w:t>
      </w:r>
      <w:r>
        <w:rPr>
          <w:rFonts w:ascii="Malgun Gothic" w:cs="Malgun Gothic" w:eastAsia="Malgun Gothic" w:hAnsi="Malgun Gothic"/>
          <w:b/>
          <w:bCs/>
          <w:sz w:val="19"/>
          <w:szCs w:val="19"/>
        </w:rPr>
        <w:t xml:space="preserve">판정: 조건부 통과.</w:t>
      </w:r>
    </w:p>
    <w:p>
      <w:pPr>
        <w:pStyle w:val="Heading2"/>
        <w:spacing w:after="120" w:before="300"/>
      </w:pPr>
      <w:r>
        <w:rPr>
          <w:rFonts w:ascii="Malgun Gothic" w:cs="Malgun Gothic" w:eastAsia="Malgun Gothic" w:hAnsi="Malgun Gothic"/>
          <w:b/>
          <w:bCs/>
          <w:color w:val="1F3864"/>
          <w:sz w:val="23"/>
          <w:szCs w:val="23"/>
        </w:rPr>
        <w:t xml:space="preserve">기준 2 — 기존 자본의 수익률</w:t>
      </w:r>
    </w:p>
    <w:tbl>
      <w:tblPr>
        <w:tblW w:type="dxa" w:w="9360"/>
        <w:tblBorders>
          <w:top w:val="single" w:color="BFBFBF" w:sz="2"/>
          <w:left w:val="none"/>
          <w:bottom w:val="single" w:color="BFBFBF" w:sz="2"/>
          <w:right w:val="none"/>
          <w:insideH w:val="single" w:color="D9D9D9" w:sz="1"/>
          <w:insideV w:val="none"/>
        </w:tblBorders>
      </w:tblPr>
      <w:tblGrid>
        <w:gridCol w:w="2990"/>
        <w:gridCol w:w="1560"/>
        <w:gridCol w:w="4810"/>
      </w:tblGrid>
      <w:tr>
        <w:trPr>
          <w:tblHeader/>
        </w:trPr>
        <w:tc>
          <w:tcPr>
            <w:tcW w:type="dxa" w:w="29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지표</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c>
          <w:tcPr>
            <w:tcW w:type="dxa" w:w="48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비고</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(FY2025)</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c>
          <w:tcPr>
            <w:tcW w:type="dxa" w:w="48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NOPAT ÷ 투하자본(평균)</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중앙값</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37.1%</w:t>
            </w:r>
          </w:p>
        </w:tc>
        <w:tc>
          <w:tcPr>
            <w:tcW w:type="dxa" w:w="48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FY2014~2025 12개 연도</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유형자산 기준 ROIC 중앙값</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53.0%</w:t>
            </w:r>
          </w:p>
        </w:tc>
        <w:tc>
          <w:tcPr>
            <w:tcW w:type="dxa" w:w="48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영업권·무형자산 제외 시</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WACC</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w:t>
            </w:r>
          </w:p>
        </w:tc>
        <w:tc>
          <w:tcPr>
            <w:tcW w:type="dxa" w:w="48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CAPM 자기자본비용 + 세후 타인자본비용</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 WACC</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27.0%</w:t>
            </w:r>
          </w:p>
        </w:tc>
        <w:tc>
          <w:tcPr>
            <w:tcW w:type="dxa" w:w="48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양수면 가치 창출</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자본집약도</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72.1%</w:t>
            </w:r>
          </w:p>
        </w:tc>
        <w:tc>
          <w:tcPr>
            <w:tcW w:type="dxa" w:w="48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투하자본 ÷ 매출</w:t>
            </w:r>
          </w:p>
        </w:tc>
      </w:tr>
    </w:tbl>
    <w:p>
      <w:pPr>
        <w:spacing w:after="200"/>
      </w:pPr>
    </w:p>
    <w:p>
      <w:pPr>
        <w:spacing w:after="140" w:line="288"/>
      </w:pPr>
      <w:r>
        <w:rPr>
          <w:rFonts w:ascii="Malgun Gothic" w:cs="Malgun Gothic" w:eastAsia="Malgun Gothic" w:hAnsi="Malgun Gothic"/>
          <w:sz w:val="19"/>
          <w:szCs w:val="19"/>
        </w:rPr>
        <w:t xml:space="preserve">ROIC가 WACC를 27.0%포인트 상회합니다. 시즈캔디의 세전 60%와 직접 비교하긴 어렵지만(시즈는 세전, 여기는 세후), 자본 대비 수익성이 자본비용을 압도한다는 점에서 같은 종류의 사업입니다. </w:t>
      </w:r>
      <w:r>
        <w:rPr>
          <w:rFonts w:ascii="Malgun Gothic" w:cs="Malgun Gothic" w:eastAsia="Malgun Gothic" w:hAnsi="Malgun Gothic"/>
          <w:b/>
          <w:bCs/>
          <w:sz w:val="19"/>
          <w:szCs w:val="19"/>
        </w:rPr>
        <w:t xml:space="preserve">판정: 통과.</w:t>
      </w:r>
    </w:p>
    <w:p>
      <w:pPr>
        <w:spacing w:after="140" w:line="288"/>
      </w:pPr>
      <w:r>
        <w:rPr>
          <w:rFonts w:ascii="Malgun Gothic" w:cs="Malgun Gothic" w:eastAsia="Malgun Gothic" w:hAnsi="Malgun Gothic"/>
          <w:sz w:val="19"/>
          <w:szCs w:val="19"/>
        </w:rPr>
        <w:t xml:space="preserve">단, 자본집약도 72.1%는 눈여겨봐야 합니다. 매출 1달러를 만드는 데 필요한 투하자본이 0.72달러라는 뜻이고, 2007년 서한 기준으로 알파벳은 이제 '자본이 거의 필요 없는 회사' 쪽이 아니라 플라이트세이프티('좋지만 대단하지는 않은') 쪽으로 이동하고 있습니다. 버핏이 구글을 예로 든 2007년과 지금의 알파벳은 자본 구조가 다른 회사입니다.</w:t>
      </w:r>
    </w:p>
    <w:p>
      <w:pPr>
        <w:pStyle w:val="Heading2"/>
        <w:spacing w:after="120" w:before="300"/>
      </w:pPr>
      <w:r>
        <w:rPr>
          <w:rFonts w:ascii="Malgun Gothic" w:cs="Malgun Gothic" w:eastAsia="Malgun Gothic" w:hAnsi="Malgun Gothic"/>
          <w:b/>
          <w:bCs/>
          <w:color w:val="1F3864"/>
          <w:sz w:val="23"/>
          <w:szCs w:val="23"/>
        </w:rPr>
        <w:t xml:space="preserve">기준 3 — 지속성(해자)</w:t>
      </w:r>
    </w:p>
    <w:tbl>
      <w:tblPr>
        <w:tblW w:type="dxa" w:w="9360"/>
        <w:tblBorders>
          <w:top w:val="single" w:color="BFBFBF" w:sz="2"/>
          <w:left w:val="none"/>
          <w:bottom w:val="single" w:color="BFBFBF" w:sz="2"/>
          <w:right w:val="none"/>
          <w:insideH w:val="single" w:color="D9D9D9" w:sz="1"/>
          <w:insideV w:val="none"/>
        </w:tblBorders>
      </w:tblPr>
      <w:tblGrid>
        <w:gridCol w:w="4550"/>
        <w:gridCol w:w="4810"/>
      </w:tblGrid>
      <w:tr>
        <w:trPr>
          <w:tblHeader/>
        </w:trPr>
        <w:tc>
          <w:tcPr>
            <w:tcW w:type="dxa" w:w="45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지표</w:t>
            </w:r>
          </w:p>
        </w:tc>
        <w:tc>
          <w:tcPr>
            <w:tcW w:type="dxa" w:w="48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값</w:t>
            </w:r>
          </w:p>
        </w:tc>
      </w:tr>
      <w:tr>
        <w:tc>
          <w:tcPr>
            <w:tcW w:type="dxa" w:w="45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10% 이상을 유지한 연수</w:t>
            </w:r>
          </w:p>
        </w:tc>
        <w:tc>
          <w:tcPr>
            <w:tcW w:type="dxa" w:w="481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12/12년</w:t>
            </w:r>
          </w:p>
        </w:tc>
      </w:tr>
      <w:tr>
        <w:tc>
          <w:tcPr>
            <w:tcW w:type="dxa" w:w="45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표준편차</w:t>
            </w:r>
          </w:p>
        </w:tc>
        <w:tc>
          <w:tcPr>
            <w:tcW w:type="dxa" w:w="481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7.3%</w:t>
            </w:r>
          </w:p>
        </w:tc>
      </w:tr>
      <w:tr>
        <w:tc>
          <w:tcPr>
            <w:tcW w:type="dxa" w:w="455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영업이익률 (FY2025)</w:t>
            </w:r>
          </w:p>
        </w:tc>
        <w:tc>
          <w:tcPr>
            <w:tcW w:type="dxa" w:w="481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32.0%</w:t>
            </w:r>
          </w:p>
        </w:tc>
      </w:tr>
      <w:tr>
        <w:tc>
          <w:tcPr>
            <w:tcW w:type="dxa" w:w="455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영업이익률 표준편차</w:t>
            </w:r>
          </w:p>
        </w:tc>
        <w:tc>
          <w:tcPr>
            <w:tcW w:type="dxa" w:w="481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3.8%</w:t>
            </w:r>
          </w:p>
        </w:tc>
      </w:tr>
    </w:tbl>
    <w:p>
      <w:pPr>
        <w:spacing w:after="200"/>
      </w:pPr>
    </w:p>
    <w:p>
      <w:pPr>
        <w:spacing w:after="140" w:line="288"/>
      </w:pPr>
      <w:r>
        <w:rPr>
          <w:rFonts w:ascii="Malgun Gothic" w:cs="Malgun Gothic" w:eastAsia="Malgun Gothic" w:hAnsi="Malgun Gothic"/>
          <w:sz w:val="19"/>
          <w:szCs w:val="19"/>
        </w:rPr>
        <w:t xml:space="preserve">12년 전부에서 두 자릿수를 유지했고 변동성도 낮습니다. 해자의 성격은 검색의 습관·기본값 지위, 광고주 네트워크, 유튜브·안드로이드·크롬으로 이어지는 사용자 잠금입니다. 책에서 정리하신 '네트워크 효과와 잠금 효과' 항목에 그대로 해당합니다. </w:t>
      </w:r>
      <w:r>
        <w:rPr>
          <w:rFonts w:ascii="Malgun Gothic" w:cs="Malgun Gothic" w:eastAsia="Malgun Gothic" w:hAnsi="Malgun Gothic"/>
          <w:b/>
          <w:bCs/>
          <w:sz w:val="19"/>
          <w:szCs w:val="19"/>
        </w:rPr>
        <w:t xml:space="preserve">판정: 통과, 단 재검토 대상.</w:t>
      </w:r>
      <w:r>
        <w:rPr>
          <w:rFonts w:ascii="Malgun Gothic" w:cs="Malgun Gothic" w:eastAsia="Malgun Gothic" w:hAnsi="Malgun Gothic"/>
          <w:sz w:val="19"/>
          <w:szCs w:val="19"/>
        </w:rPr>
        <w:t xml:space="preserve"> 2007년 서한의 '계속 다시 쌓아야 하는 해자는 결국 해자가 아니다'를 적용하면, 지금 알파벳은 해자를 유지하기 위해 연 매출의 22.7%를 설비에 쓰고 있습니다. 이것이 해자를 넓히는 투자인지 지키는 비용인지는 아직 확정할 수 없습니다.</w:t>
      </w:r>
    </w:p>
    <w:p>
      <w:pPr>
        <w:pStyle w:val="Heading2"/>
        <w:spacing w:after="120" w:before="300"/>
      </w:pPr>
      <w:r>
        <w:rPr>
          <w:rFonts w:ascii="Malgun Gothic" w:cs="Malgun Gothic" w:eastAsia="Malgun Gothic" w:hAnsi="Malgun Gothic"/>
          <w:b/>
          <w:bCs/>
          <w:color w:val="1F3864"/>
          <w:sz w:val="23"/>
          <w:szCs w:val="23"/>
        </w:rPr>
        <w:t xml:space="preserve">기준 4 — 신규 자본의 수익률 (핵심 쟁점)</w:t>
      </w:r>
    </w:p>
    <w:p>
      <w:pPr>
        <w:spacing w:after="140" w:line="288"/>
      </w:pPr>
      <w:r>
        <w:rPr>
          <w:rFonts w:ascii="Malgun Gothic" w:cs="Malgun Gothic" w:eastAsia="Malgun Gothic" w:hAnsi="Malgun Gothic"/>
          <w:sz w:val="19"/>
          <w:szCs w:val="19"/>
        </w:rPr>
        <w:t xml:space="preserve">메모 4에서 계산한 표를 다시 놓습니다. 이 보고서에서 알파벳에 대해 가장 중요한 숫자입니다.</w:t>
      </w:r>
    </w:p>
    <w:tbl>
      <w:tblPr>
        <w:tblW w:type="dxa" w:w="9360"/>
        <w:tblBorders>
          <w:top w:val="single" w:color="BFBFBF" w:sz="2"/>
          <w:left w:val="none"/>
          <w:bottom w:val="single" w:color="BFBFBF" w:sz="2"/>
          <w:right w:val="none"/>
          <w:insideH w:val="single" w:color="D9D9D9" w:sz="1"/>
          <w:insideV w:val="none"/>
        </w:tblBorders>
      </w:tblPr>
      <w:tblGrid>
        <w:gridCol w:w="2990"/>
        <w:gridCol w:w="1690"/>
        <w:gridCol w:w="1560"/>
        <w:gridCol w:w="1560"/>
        <w:gridCol w:w="1560"/>
      </w:tblGrid>
      <w:tr>
        <w:trPr>
          <w:tblHeader/>
        </w:trPr>
        <w:tc>
          <w:tcPr>
            <w:tcW w:type="dxa" w:w="29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측정 구간</w:t>
            </w:r>
          </w:p>
        </w:tc>
        <w:tc>
          <w:tcPr>
            <w:tcW w:type="dxa" w:w="16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투하자본 증가</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NOPAT 증가</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신규 ROIC</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WACC 대비</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FY2021→FY2025 (AI 설비투자 구간)</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$210B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$41.4B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19.7%</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2.0배</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FY2022→FY2025</w:t>
            </w:r>
          </w:p>
        </w:tc>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$180B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$44.5B</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24.7%</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2.5배</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FY2014→FY2025 (전체 기간)</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$296B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$94.4B</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31.9%</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3.2배</w:t>
            </w:r>
          </w:p>
        </w:tc>
      </w:tr>
    </w:tbl>
    <w:p>
      <w:pPr>
        <w:spacing w:after="200"/>
      </w:pPr>
    </w:p>
    <w:p>
      <w:pPr>
        <w:spacing w:after="140" w:line="288"/>
      </w:pPr>
      <w:r>
        <w:rPr>
          <w:rFonts w:ascii="Malgun Gothic" w:cs="Malgun Gothic" w:eastAsia="Malgun Gothic" w:hAnsi="Malgun Gothic"/>
          <w:sz w:val="19"/>
          <w:szCs w:val="19"/>
        </w:rPr>
        <w:t xml:space="preserve">읽는 법은 이렇습니다.</w:t>
      </w:r>
    </w:p>
    <w:p>
      <w:pPr>
        <w:pStyle w:val="ListParagraph"/>
        <w:numPr>
          <w:ilvl w:val="0"/>
          <w:numId w:val="2"/>
        </w:numPr>
        <w:spacing w:after="120" w:line="284"/>
      </w:pPr>
      <w:r>
        <w:rPr>
          <w:rFonts w:ascii="Malgun Gothic" w:cs="Malgun Gothic" w:eastAsia="Malgun Gothic" w:hAnsi="Malgun Gothic"/>
          <w:b/>
          <w:bCs/>
          <w:sz w:val="19"/>
          <w:szCs w:val="19"/>
        </w:rPr>
        <w:t xml:space="preserve">신규 자본의 수익률은 확실히 떨어지고 있습니다.</w:t>
      </w:r>
      <w:r>
        <w:rPr>
          <w:rFonts w:ascii="Malgun Gothic" w:cs="Malgun Gothic" w:eastAsia="Malgun Gothic" w:hAnsi="Malgun Gothic"/>
          <w:sz w:val="19"/>
          <w:szCs w:val="19"/>
        </w:rPr>
        <w:t xml:space="preserve"> 전체 기간 31.9% → AI 설비투자 구간 19.7%. 기존 ROIC 37.1%의 절반 수준입니다. 데이터센터는 검색 광고보다 자본이 훨씬 많이 드는 사업이므로 당연한 결과이기도 합니다.</w:t>
      </w:r>
    </w:p>
    <w:p>
      <w:pPr>
        <w:pStyle w:val="ListParagraph"/>
        <w:numPr>
          <w:ilvl w:val="0"/>
          <w:numId w:val="2"/>
        </w:numPr>
        <w:spacing w:after="120" w:line="284"/>
      </w:pPr>
      <w:r>
        <w:rPr>
          <w:rFonts w:ascii="Malgun Gothic" w:cs="Malgun Gothic" w:eastAsia="Malgun Gothic" w:hAnsi="Malgun Gothic"/>
          <w:b/>
          <w:bCs/>
          <w:sz w:val="19"/>
          <w:szCs w:val="19"/>
        </w:rPr>
        <w:t xml:space="preserve">그럼에도 자본비용은 넘습니다.</w:t>
      </w:r>
      <w:r>
        <w:rPr>
          <w:rFonts w:ascii="Malgun Gothic" w:cs="Malgun Gothic" w:eastAsia="Malgun Gothic" w:hAnsi="Malgun Gothic"/>
          <w:sz w:val="19"/>
          <w:szCs w:val="19"/>
        </w:rPr>
        <w:t xml:space="preserve"> 19.7% vs WACC 10.0%. 1992년 서한 기준으로 이 성장은 여전히 '투자자에게 이로운 성장'입니다. 성장에 쓴 1달러가 1달러보다 큰 가치를 만들고 있습니다.</w:t>
      </w:r>
    </w:p>
    <w:p>
      <w:pPr>
        <w:pStyle w:val="ListParagraph"/>
        <w:numPr>
          <w:ilvl w:val="0"/>
          <w:numId w:val="2"/>
        </w:numPr>
        <w:spacing w:after="120" w:line="284"/>
      </w:pPr>
      <w:r>
        <w:rPr>
          <w:rFonts w:ascii="Malgun Gothic" w:cs="Malgun Gothic" w:eastAsia="Malgun Gothic" w:hAnsi="Malgun Gothic"/>
          <w:b/>
          <w:bCs/>
          <w:sz w:val="19"/>
          <w:szCs w:val="19"/>
        </w:rPr>
        <w:t xml:space="preserve">단, 측정이 아직 이릅니다.</w:t>
      </w:r>
      <w:r>
        <w:rPr>
          <w:rFonts w:ascii="Malgun Gothic" w:cs="Malgun Gothic" w:eastAsia="Malgun Gothic" w:hAnsi="Malgun Gothic"/>
          <w:sz w:val="19"/>
          <w:szCs w:val="19"/>
        </w:rPr>
        <w:t xml:space="preserve"> FY2025 기술 인프라 중 $79B는 건설 중이라 분모에만 들어가 있고 분자에는 기여하지 않습니다. 여기에 아직 개시되지 않은 데이터센터 임차 약정이 $58.5B 더 있습니다. 이 자본이 이익을 내기 시작하면 신규 ROIC는 올라가고, 내지 못하면 더 떨어집니다. 지금 숫자는 진행 중인 투자의 중간 성적표입니다.</w:t>
      </w:r>
    </w:p>
    <w:p>
      <w:pPr>
        <w:pStyle w:val="ListParagraph"/>
        <w:numPr>
          <w:ilvl w:val="0"/>
          <w:numId w:val="2"/>
        </w:numPr>
        <w:spacing w:after="120" w:line="284"/>
      </w:pPr>
      <w:r>
        <w:rPr>
          <w:rFonts w:ascii="Malgun Gothic" w:cs="Malgun Gothic" w:eastAsia="Malgun Gothic" w:hAnsi="Malgun Gothic"/>
          <w:b/>
          <w:bCs/>
          <w:sz w:val="19"/>
          <w:szCs w:val="19"/>
        </w:rPr>
        <w:t xml:space="preserve">계약잔고는 긍정적입니다.</w:t>
      </w:r>
      <w:r>
        <w:rPr>
          <w:rFonts w:ascii="Malgun Gothic" w:cs="Malgun Gothic" w:eastAsia="Malgun Gothic" w:hAnsi="Malgun Gothic"/>
          <w:sz w:val="19"/>
          <w:szCs w:val="19"/>
        </w:rPr>
        <w:t xml:space="preserve"> RPO $74B → $243B. 지어놓고 손님을 기다리는 상태가 아니라, 계약을 받아놓고 짓고 있는 상태에 가깝습니다.</w:t>
      </w:r>
    </w:p>
    <w:p>
      <w:pPr>
        <w:spacing w:after="140" w:line="288"/>
      </w:pPr>
      <w:r>
        <w:rPr>
          <w:rFonts w:ascii="Malgun Gothic" w:cs="Malgun Gothic" w:eastAsia="Malgun Gothic" w:hAnsi="Malgun Gothic"/>
          <w:b/>
          <w:bCs/>
          <w:sz w:val="19"/>
          <w:szCs w:val="19"/>
        </w:rPr>
        <w:t xml:space="preserve">판정: 통과, 그러나 이 기준이 알파벳 투자의 실질적 승부처입니다.</w:t>
      </w:r>
      <w:r>
        <w:rPr>
          <w:rFonts w:ascii="Malgun Gothic" w:cs="Malgun Gothic" w:eastAsia="Malgun Gothic" w:hAnsi="Malgun Gothic"/>
          <w:sz w:val="19"/>
          <w:szCs w:val="19"/>
        </w:rPr>
        <w:t xml:space="preserve"> 신규 ROIC가 WACC 아래로 내려가는 순간 성장은 가치를 파괴하기 시작하고, 지금 값은 그 경계에서 두 배 정도 떨어져 있습니다.</w:t>
      </w:r>
    </w:p>
    <w:p>
      <w:pPr>
        <w:pStyle w:val="Heading2"/>
        <w:spacing w:after="120" w:before="300"/>
      </w:pPr>
      <w:r>
        <w:rPr>
          <w:rFonts w:ascii="Malgun Gothic" w:cs="Malgun Gothic" w:eastAsia="Malgun Gothic" w:hAnsi="Malgun Gothic"/>
          <w:b/>
          <w:bCs/>
          <w:color w:val="1F3864"/>
          <w:sz w:val="23"/>
          <w:szCs w:val="23"/>
        </w:rPr>
        <w:t xml:space="preserve">기준 5 — 경영진의 자본배분과 주주 지향성</w:t>
      </w:r>
    </w:p>
    <w:tbl>
      <w:tblPr>
        <w:tblW w:type="dxa" w:w="9360"/>
        <w:tblBorders>
          <w:top w:val="single" w:color="BFBFBF" w:sz="2"/>
          <w:left w:val="none"/>
          <w:bottom w:val="single" w:color="BFBFBF" w:sz="2"/>
          <w:right w:val="none"/>
          <w:insideH w:val="single" w:color="D9D9D9" w:sz="1"/>
          <w:insideV w:val="none"/>
        </w:tblBorders>
      </w:tblPr>
      <w:tblGrid>
        <w:gridCol w:w="2210"/>
        <w:gridCol w:w="1690"/>
        <w:gridCol w:w="5460"/>
      </w:tblGrid>
      <w:tr>
        <w:trPr>
          <w:tblHeader/>
        </w:trPr>
        <w:tc>
          <w:tcPr>
            <w:tcW w:type="dxa" w:w="22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항목</w:t>
            </w:r>
          </w:p>
        </w:tc>
        <w:tc>
          <w:tcPr>
            <w:tcW w:type="dxa" w:w="16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FY2025</w:t>
            </w:r>
          </w:p>
        </w:tc>
        <w:tc>
          <w:tcPr>
            <w:tcW w:type="dxa" w:w="54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평가</w:t>
            </w:r>
          </w:p>
        </w:tc>
      </w:tr>
      <w:tr>
        <w:tc>
          <w:tcPr>
            <w:tcW w:type="dxa" w:w="22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 매입</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$45.7B</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주식수 연 1.1% 감소</w:t>
            </w:r>
          </w:p>
        </w:tc>
      </w:tr>
      <w:tr>
        <w:tc>
          <w:tcPr>
            <w:tcW w:type="dxa" w:w="22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주식보상비용</w:t>
            </w:r>
          </w:p>
        </w:tc>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$27.1B</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 매입이 희석을 상쇄하고도 남음</w:t>
            </w:r>
          </w:p>
        </w:tc>
      </w:tr>
      <w:tr>
        <w:tc>
          <w:tcPr>
            <w:tcW w:type="dxa" w:w="22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배당</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$10.0B</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2024년 개시, 주당 $0.83</w:t>
            </w:r>
          </w:p>
        </w:tc>
      </w:tr>
      <w:tr>
        <w:tc>
          <w:tcPr>
            <w:tcW w:type="dxa" w:w="22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설비투자</w:t>
            </w:r>
          </w:p>
        </w:tc>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$91.4B</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감가상각의 4.3x</w:t>
            </w:r>
          </w:p>
        </w:tc>
      </w:tr>
      <w:tr>
        <w:tc>
          <w:tcPr>
            <w:tcW w:type="dxa" w:w="221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연구개발비</w:t>
            </w:r>
          </w:p>
        </w:tc>
        <w:tc>
          <w:tcPr>
            <w:tcW w:type="dxa" w:w="169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$61.1B</w:t>
            </w:r>
          </w:p>
        </w:tc>
        <w:tc>
          <w:tcPr>
            <w:tcW w:type="dxa" w:w="54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매출의 15.2%</w:t>
            </w:r>
          </w:p>
        </w:tc>
      </w:tr>
      <w:tr>
        <w:tc>
          <w:tcPr>
            <w:tcW w:type="dxa" w:w="221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순현금</w:t>
            </w:r>
          </w:p>
        </w:tc>
        <w:tc>
          <w:tcPr>
            <w:tcW w:type="dxa" w:w="169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$77.8B</w:t>
            </w:r>
          </w:p>
        </w:tc>
        <w:tc>
          <w:tcPr>
            <w:tcW w:type="dxa" w:w="54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미배분 자본</w:t>
            </w:r>
          </w:p>
        </w:tc>
      </w:tr>
    </w:tbl>
    <w:p>
      <w:pPr>
        <w:spacing w:after="200"/>
      </w:pPr>
    </w:p>
    <w:p>
      <w:pPr>
        <w:spacing w:after="140" w:line="288"/>
      </w:pPr>
      <w:r>
        <w:rPr>
          <w:rFonts w:ascii="Malgun Gothic" w:cs="Malgun Gothic" w:eastAsia="Malgun Gothic" w:hAnsi="Malgun Gothic"/>
          <w:sz w:val="19"/>
          <w:szCs w:val="19"/>
        </w:rPr>
        <w:t xml:space="preserve">책에서 짚으신 '주당 내재가치를 자사주 매입으로 높이는가'에 대해서는 명확히 그렇습니다. 주식수가 연 1.1%씩 줄고 있어 같은 이익이라도 주당 몫이 매년 그만큼 커집니다. 주식보상비용 $27.1B보다 자사주 매입 $45.7B이 크기 때문에 희석이 아니라 축소입니다.</w:t>
      </w:r>
    </w:p>
    <w:p>
      <w:pPr>
        <w:spacing w:after="140" w:line="288"/>
      </w:pPr>
      <w:r>
        <w:rPr>
          <w:rFonts w:ascii="Malgun Gothic" w:cs="Malgun Gothic" w:eastAsia="Malgun Gothic" w:hAnsi="Malgun Gothic"/>
          <w:b/>
          <w:bCs/>
          <w:sz w:val="19"/>
          <w:szCs w:val="19"/>
        </w:rPr>
        <w:t xml:space="preserve">약점은 순현금입니다.</w:t>
      </w:r>
      <w:r>
        <w:rPr>
          <w:rFonts w:ascii="Malgun Gothic" w:cs="Malgun Gothic" w:eastAsia="Malgun Gothic" w:hAnsi="Malgun Gothic"/>
          <w:sz w:val="19"/>
          <w:szCs w:val="19"/>
        </w:rPr>
        <w:t xml:space="preserve"> $78B가 사업 수익률 36.9%가 아니라 국채 수준으로 굴고 있습니다. 버핏의 1977년 기준 (3)번 '유능한 경영진'에는 자본배분 능력이 포함되고, 이 항목만 놓고 보면 만점은 아닙니다. </w:t>
      </w:r>
      <w:r>
        <w:rPr>
          <w:rFonts w:ascii="Malgun Gothic" w:cs="Malgun Gothic" w:eastAsia="Malgun Gothic" w:hAnsi="Malgun Gothic"/>
          <w:b/>
          <w:bCs/>
          <w:sz w:val="19"/>
          <w:szCs w:val="19"/>
        </w:rPr>
        <w:t xml:space="preserve">판정: 통과, 자본배분은 개선 여지 있음.</w:t>
      </w:r>
    </w:p>
    <w:p>
      <w:pPr>
        <w:pStyle w:val="Heading2"/>
        <w:spacing w:after="120" w:before="300"/>
      </w:pPr>
      <w:r>
        <w:rPr>
          <w:rFonts w:ascii="Malgun Gothic" w:cs="Malgun Gothic" w:eastAsia="Malgun Gothic" w:hAnsi="Malgun Gothic"/>
          <w:b/>
          <w:bCs/>
          <w:color w:val="1F3864"/>
          <w:sz w:val="23"/>
          <w:szCs w:val="23"/>
        </w:rPr>
        <w:t xml:space="preserve">기준 6 — 이익의 질</w:t>
      </w:r>
    </w:p>
    <w:p>
      <w:pPr>
        <w:spacing w:after="140" w:line="288"/>
      </w:pPr>
      <w:r>
        <w:rPr>
          <w:rFonts w:ascii="Malgun Gothic" w:cs="Malgun Gothic" w:eastAsia="Malgun Gothic" w:hAnsi="Malgun Gothic"/>
          <w:sz w:val="19"/>
          <w:szCs w:val="19"/>
        </w:rPr>
        <w:t xml:space="preserve">여기서 이번 검토의 가장 중요한 발견이 나왔습니다. </w:t>
      </w:r>
      <w:r>
        <w:rPr>
          <w:rFonts w:ascii="Malgun Gothic" w:cs="Malgun Gothic" w:eastAsia="Malgun Gothic" w:hAnsi="Malgun Gothic"/>
          <w:b/>
          <w:bCs/>
          <w:sz w:val="19"/>
          <w:szCs w:val="19"/>
        </w:rPr>
        <w:t xml:space="preserve">알파벳의 보고 순이익은 사업이 번 돈보다 큽니다.</w:t>
      </w:r>
    </w:p>
    <w:tbl>
      <w:tblPr>
        <w:tblW w:type="dxa" w:w="9360"/>
        <w:tblBorders>
          <w:top w:val="single" w:color="BFBFBF" w:sz="2"/>
          <w:left w:val="none"/>
          <w:bottom w:val="single" w:color="BFBFBF" w:sz="2"/>
          <w:right w:val="none"/>
          <w:insideH w:val="single" w:color="D9D9D9" w:sz="1"/>
          <w:insideV w:val="none"/>
        </w:tblBorders>
      </w:tblPr>
      <w:tblGrid>
        <w:gridCol w:w="2730"/>
        <w:gridCol w:w="1560"/>
        <w:gridCol w:w="5070"/>
      </w:tblGrid>
      <w:tr>
        <w:trPr>
          <w:tblHeader/>
        </w:trPr>
        <w:tc>
          <w:tcPr>
            <w:tcW w:type="dxa" w:w="273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단계</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금액</w:t>
            </w:r>
          </w:p>
        </w:tc>
        <w:tc>
          <w:tcPr>
            <w:tcW w:type="dxa" w:w="50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설명</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① 보고 순이익</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$132.2B</w:t>
            </w:r>
          </w:p>
        </w:tc>
        <w:tc>
          <w:tcPr>
            <w:tcW w:type="dxa" w:w="50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10-K 손익계산서. 주주이익의 출발점이 되는 '보고 이익'</w:t>
            </w:r>
          </w:p>
        </w:tc>
      </w:tr>
      <w:tr>
        <w:tc>
          <w:tcPr>
            <w:tcW w:type="dxa" w:w="273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② − 투자평가손익 (세후)</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$111.7B</w:t>
            </w:r>
          </w:p>
        </w:tc>
        <w:tc>
          <w:tcPr>
            <w:tcW w:type="dxa" w:w="50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세전 $24.6B를 실효세율 16.8%로 조정한 $20.5B 차감. 사업이 번 돈이 아니라 보유 지분의 평가이익</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③ + 감가상각</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$132.8B</w:t>
            </w:r>
          </w:p>
        </w:tc>
        <w:tc>
          <w:tcPr>
            <w:tcW w:type="dxa" w:w="50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비현금 비용 $21.1B 가산 (버핏 정의의 (b)항)</w:t>
            </w:r>
          </w:p>
        </w:tc>
      </w:tr>
      <w:tr>
        <w:tc>
          <w:tcPr>
            <w:tcW w:type="dxa" w:w="273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④ − 운전자본 증감</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$137.6B</w:t>
            </w:r>
          </w:p>
        </w:tc>
        <w:tc>
          <w:tcPr>
            <w:tcW w:type="dxa" w:w="50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 운전자본이 흡수한 현금 −$4.8B (현금·단기차입금 제외 기준)</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⑤ − 설비투자 전액 = 주주이익 (하한)</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$46.2B</w:t>
            </w:r>
          </w:p>
        </w:tc>
        <w:tc>
          <w:tcPr>
            <w:tcW w:type="dxa" w:w="50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자본예산 $91.4B 전부를 차감. 성장투자까지 비용으로 보므로 가장 보수적인 값</w:t>
            </w:r>
          </w:p>
        </w:tc>
      </w:tr>
      <w:tr>
        <w:tc>
          <w:tcPr>
            <w:tcW w:type="dxa" w:w="273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⑤′ − 유지 설비투자만 = 주주이익 (상한)</w:t>
            </w:r>
          </w:p>
        </w:tc>
        <w:tc>
          <w:tcPr>
            <w:tcW w:type="dxa" w:w="15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$116.5B</w:t>
            </w:r>
          </w:p>
        </w:tc>
        <w:tc>
          <w:tcPr>
            <w:tcW w:type="dxa" w:w="50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버핏 정의의 (c)항은 '경쟁 지위와 판매량을 유지하는 데 필요한' 설비투자입니다. 그 대용치로 감가상각 $21.1B만 차감</w:t>
            </w:r>
          </w:p>
        </w:tc>
      </w:tr>
      <w:tr>
        <w:tc>
          <w:tcPr>
            <w:tcW w:type="dxa" w:w="273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[참고] 영업현금흐름 − 설비투자</w:t>
            </w:r>
          </w:p>
        </w:tc>
        <w:tc>
          <w:tcPr>
            <w:tcW w:type="dxa" w:w="15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$73.3B</w:t>
            </w:r>
          </w:p>
        </w:tc>
        <w:tc>
          <w:tcPr>
            <w:tcW w:type="dxa" w:w="50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흔히 쓰이는 잉여현금흐름. 영업현금흐름 $164.7B에서 설비투자를 뺀 값이며, 평가이익은 이미 제외되어 있으나 주식보상비용이 비현금항목으로 되더해져 있어 주주이익보다 큽니다</w:t>
            </w:r>
          </w:p>
        </w:tc>
      </w:tr>
    </w:tbl>
    <w:p>
      <w:pPr>
        <w:spacing w:after="200"/>
      </w:pPr>
    </w:p>
    <w:p>
      <w:pPr>
        <w:spacing w:after="140" w:line="288"/>
      </w:pPr>
      <w:r>
        <w:rPr>
          <w:rFonts w:ascii="Malgun Gothic" w:cs="Malgun Gothic" w:eastAsia="Malgun Gothic" w:hAnsi="Malgun Gothic"/>
          <w:sz w:val="19"/>
          <w:szCs w:val="19"/>
        </w:rPr>
        <w:t xml:space="preserve">FY2025 보고 순이익 $132.2B 중 세전 $24.6B(세후 $20.5B)는 보유 지분의 평가이익입니다. 2018년 회계기준 변경(ASU 2016-01)으로 손익계산서를 통과하게 된 항목이고, 현금이 아니며 반복되지도 않습니다. 버핏이 최근 주주서한마다 한 문단씩 써서 무시하라고 말하는 바로 그 줄입니다. 참고로 같은 항목이 버크셔 FY2025 손익에 $39.1B 들어 있습니다.</w:t>
      </w:r>
    </w:p>
    <w:p>
      <w:pPr>
        <w:spacing w:after="140" w:line="288"/>
      </w:pPr>
      <w:r>
        <w:rPr>
          <w:rFonts w:ascii="Malgun Gothic" w:cs="Malgun Gothic" w:eastAsia="Malgun Gothic" w:hAnsi="Malgun Gothic"/>
          <w:sz w:val="19"/>
          <w:szCs w:val="19"/>
        </w:rPr>
        <w:t xml:space="preserve">이 조정의 효과가 작지 않습니다.</w:t>
      </w:r>
    </w:p>
    <w:p>
      <w:pPr>
        <w:pStyle w:val="ListParagraph"/>
        <w:numPr>
          <w:ilvl w:val="0"/>
          <w:numId w:val="2"/>
        </w:numPr>
        <w:spacing w:after="120" w:line="284"/>
      </w:pPr>
      <w:r>
        <w:rPr>
          <w:rFonts w:ascii="Malgun Gothic" w:cs="Malgun Gothic" w:eastAsia="Malgun Gothic" w:hAnsi="Malgun Gothic"/>
          <w:sz w:val="19"/>
          <w:szCs w:val="19"/>
        </w:rPr>
        <w:t xml:space="preserve">PER: 보고 기준 32.6x → 사업 기준 38.5x</w:t>
      </w:r>
    </w:p>
    <w:p>
      <w:pPr>
        <w:pStyle w:val="ListParagraph"/>
        <w:numPr>
          <w:ilvl w:val="0"/>
          <w:numId w:val="2"/>
        </w:numPr>
        <w:spacing w:after="120" w:line="284"/>
      </w:pPr>
      <w:r>
        <w:rPr>
          <w:rFonts w:ascii="Malgun Gothic" w:cs="Malgun Gothic" w:eastAsia="Malgun Gothic" w:hAnsi="Malgun Gothic"/>
          <w:sz w:val="19"/>
          <w:szCs w:val="19"/>
        </w:rPr>
        <w:t xml:space="preserve">FY2025 주주이익: 조정 전 $66.6B → 조정 후 $46.2B (설비투자 전액 차감 기준)</w:t>
      </w:r>
    </w:p>
    <w:p>
      <w:pPr>
        <w:pStyle w:val="ListParagraph"/>
        <w:numPr>
          <w:ilvl w:val="0"/>
          <w:numId w:val="2"/>
        </w:numPr>
        <w:spacing w:after="120" w:line="284"/>
      </w:pPr>
      <w:r>
        <w:rPr>
          <w:rFonts w:ascii="Malgun Gothic" w:cs="Malgun Gothic" w:eastAsia="Malgun Gothic" w:hAnsi="Malgun Gothic"/>
          <w:sz w:val="19"/>
          <w:szCs w:val="19"/>
        </w:rPr>
        <w:t xml:space="preserve">ROIC: 조정 전 45.7% → 조정 후 36.9% (분자에서 이자수익·평가익을 뺀 결과)</w:t>
      </w:r>
    </w:p>
    <w:p>
      <w:pPr>
        <w:spacing w:after="140" w:line="288"/>
      </w:pPr>
      <w:r>
        <w:rPr>
          <w:rFonts w:ascii="Malgun Gothic" w:cs="Malgun Gothic" w:eastAsia="Malgun Gothic" w:hAnsi="Malgun Gothic"/>
          <w:b/>
          <w:bCs/>
          <w:sz w:val="19"/>
          <w:szCs w:val="19"/>
        </w:rPr>
        <w:t xml:space="preserve">판정: 통과, 단 보고 숫자를 그대로 쓰면 안 됨.</w:t>
      </w:r>
      <w:r>
        <w:rPr>
          <w:rFonts w:ascii="Malgun Gothic" w:cs="Malgun Gothic" w:eastAsia="Malgun Gothic" w:hAnsi="Malgun Gothic"/>
          <w:sz w:val="19"/>
          <w:szCs w:val="19"/>
        </w:rPr>
        <w:t xml:space="preserve"> 조정 후에도 주주이익은 견고하고, 12년 CAGR 17.6%로 성장했습니다. 다만 아래 두 가지는 계속 지켜봐야 합니다.</w:t>
      </w:r>
    </w:p>
    <w:p>
      <w:pPr>
        <w:pStyle w:val="ListParagraph"/>
        <w:numPr>
          <w:ilvl w:val="0"/>
          <w:numId w:val="2"/>
        </w:numPr>
        <w:spacing w:after="120" w:line="284"/>
      </w:pPr>
      <w:r>
        <w:rPr>
          <w:rFonts w:ascii="Malgun Gothic" w:cs="Malgun Gothic" w:eastAsia="Malgun Gothic" w:hAnsi="Malgun Gothic"/>
          <w:b/>
          <w:bCs/>
          <w:sz w:val="19"/>
          <w:szCs w:val="19"/>
        </w:rPr>
        <w:t xml:space="preserve">감가상각 내용연수.</w:t>
      </w:r>
      <w:r>
        <w:rPr>
          <w:rFonts w:ascii="Malgun Gothic" w:cs="Malgun Gothic" w:eastAsia="Malgun Gothic" w:hAnsi="Malgun Gothic"/>
          <w:sz w:val="19"/>
          <w:szCs w:val="19"/>
        </w:rPr>
        <w:t xml:space="preserve"> FY2023에 서버 내용연수를 연장하면서 감가상각비가 $3.9B 줄었습니다. 감가상각은 이 보고서에서 '유지 설비투자'의 대용치이므로, 내용연수를 길게 잡을수록 내재가치 상단이 직접 올라갑니다. AI 가속기의 실제 경제적 수명이 가정보다 짧다면 상단은 과대평가입니다.</w:t>
      </w:r>
    </w:p>
    <w:p>
      <w:pPr>
        <w:pStyle w:val="ListParagraph"/>
        <w:numPr>
          <w:ilvl w:val="0"/>
          <w:numId w:val="2"/>
        </w:numPr>
        <w:spacing w:after="120" w:line="284"/>
      </w:pPr>
      <w:r>
        <w:rPr>
          <w:rFonts w:ascii="Malgun Gothic" w:cs="Malgun Gothic" w:eastAsia="Malgun Gothic" w:hAnsi="Malgun Gothic"/>
          <w:b/>
          <w:bCs/>
          <w:sz w:val="19"/>
          <w:szCs w:val="19"/>
        </w:rPr>
        <w:t xml:space="preserve">아직 개시되지 않은 임차 약정 $58.5B.</w:t>
      </w:r>
      <w:r>
        <w:rPr>
          <w:rFonts w:ascii="Malgun Gothic" w:cs="Malgun Gothic" w:eastAsia="Malgun Gothic" w:hAnsi="Malgun Gothic"/>
          <w:sz w:val="19"/>
          <w:szCs w:val="19"/>
        </w:rPr>
        <w:t xml:space="preserve"> 오늘의 대차대조표에는 없지만 이미 약정된 자본입니다. 투하자본에 잡히지 않은 채 ROIC 분모를 낮추고 있습니다.</w:t>
      </w:r>
    </w:p>
    <w:p>
      <w:pPr>
        <w:pStyle w:val="Heading2"/>
        <w:spacing w:after="120" w:before="300"/>
      </w:pPr>
      <w:r>
        <w:rPr>
          <w:rFonts w:ascii="Malgun Gothic" w:cs="Malgun Gothic" w:eastAsia="Malgun Gothic" w:hAnsi="Malgun Gothic"/>
          <w:b/>
          <w:bCs/>
          <w:color w:val="1F3864"/>
          <w:sz w:val="23"/>
          <w:szCs w:val="23"/>
        </w:rPr>
        <w:t xml:space="preserve">기준 7 — 가격</w:t>
      </w:r>
    </w:p>
    <w:p>
      <w:pPr>
        <w:spacing w:after="140" w:line="288"/>
      </w:pPr>
      <w:r>
        <w:rPr>
          <w:rFonts w:ascii="Malgun Gothic" w:cs="Malgun Gothic" w:eastAsia="Malgun Gothic" w:hAnsi="Malgun Gothic"/>
          <w:sz w:val="19"/>
          <w:szCs w:val="19"/>
        </w:rPr>
        <w:t xml:space="preserve">앞의 여섯 기준을 통과했으니(기준 1은 조건부) 이제 가격입니다. 버핏의 순서에서 가격은 항상 마지막이고, 마지막이라고 해서 덜 중요한 것은 아닙니다.</w:t>
      </w:r>
    </w:p>
    <w:tbl>
      <w:tblPr>
        <w:tblW w:type="dxa" w:w="9360"/>
        <w:tblBorders>
          <w:top w:val="single" w:color="BFBFBF" w:sz="2"/>
          <w:left w:val="none"/>
          <w:bottom w:val="single" w:color="BFBFBF" w:sz="2"/>
          <w:right w:val="none"/>
          <w:insideH w:val="single" w:color="D9D9D9" w:sz="1"/>
          <w:insideV w:val="none"/>
        </w:tblBorders>
      </w:tblPr>
      <w:tblGrid>
        <w:gridCol w:w="1170"/>
        <w:gridCol w:w="1170"/>
        <w:gridCol w:w="1170"/>
        <w:gridCol w:w="2925"/>
        <w:gridCol w:w="2925"/>
      </w:tblGrid>
      <w:tr>
        <w:trPr>
          <w:tblHeader/>
        </w:trPr>
        <w:tc>
          <w:tcPr>
            <w:tcW w:type="dxa" w:w="11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시나리오</w:t>
            </w:r>
          </w:p>
        </w:tc>
        <w:tc>
          <w:tcPr>
            <w:tcW w:type="dxa" w:w="11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성장률</w:t>
            </w:r>
          </w:p>
        </w:tc>
        <w:tc>
          <w:tcPr>
            <w:tcW w:type="dxa" w:w="117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할인율</w:t>
            </w:r>
          </w:p>
        </w:tc>
        <w:tc>
          <w:tcPr>
            <w:tcW w:type="dxa" w:w="292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내재가치 (설비투자 전액)</w:t>
            </w:r>
          </w:p>
        </w:tc>
        <w:tc>
          <w:tcPr>
            <w:tcW w:type="dxa" w:w="292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내재가치 (유지 설비투자)</w:t>
            </w:r>
          </w:p>
        </w:tc>
      </w:tr>
      <w:tr>
        <w:tc>
          <w:tcPr>
            <w:tcW w:type="dxa" w:w="11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보수</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8.8%</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w:t>
            </w:r>
          </w:p>
        </w:tc>
        <w:tc>
          <w:tcPr>
            <w:tcW w:type="dxa" w:w="292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$1,134B</w:t>
            </w:r>
          </w:p>
        </w:tc>
        <w:tc>
          <w:tcPr>
            <w:tcW w:type="dxa" w:w="292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$1,645B</w:t>
            </w:r>
          </w:p>
        </w:tc>
      </w:tr>
      <w:tr>
        <w:tc>
          <w:tcPr>
            <w:tcW w:type="dxa" w:w="117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기준</w:t>
            </w:r>
          </w:p>
        </w:tc>
        <w:tc>
          <w:tcPr>
            <w:tcW w:type="dxa" w:w="117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117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w:t>
            </w:r>
          </w:p>
        </w:tc>
        <w:tc>
          <w:tcPr>
            <w:tcW w:type="dxa" w:w="292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$1,655B</w:t>
            </w:r>
          </w:p>
        </w:tc>
        <w:tc>
          <w:tcPr>
            <w:tcW w:type="dxa" w:w="2925"/>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$2,402B</w:t>
            </w:r>
          </w:p>
        </w:tc>
      </w:tr>
      <w:tr>
        <w:tc>
          <w:tcPr>
            <w:tcW w:type="dxa" w:w="117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낙관</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w:t>
            </w:r>
          </w:p>
        </w:tc>
        <w:tc>
          <w:tcPr>
            <w:tcW w:type="dxa" w:w="117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w:t>
            </w:r>
          </w:p>
        </w:tc>
        <w:tc>
          <w:tcPr>
            <w:tcW w:type="dxa" w:w="292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$3,704B</w:t>
            </w:r>
          </w:p>
        </w:tc>
        <w:tc>
          <w:tcPr>
            <w:tcW w:type="dxa" w:w="2925"/>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$5,374B</w:t>
            </w:r>
          </w:p>
        </w:tc>
      </w:tr>
    </w:tbl>
    <w:p>
      <w:pPr>
        <w:spacing w:after="200"/>
      </w:pPr>
    </w:p>
    <w:p>
      <w:pPr>
        <w:spacing w:after="140" w:line="288"/>
      </w:pPr>
      <w:r>
        <w:rPr>
          <w:rFonts w:ascii="Malgun Gothic" w:cs="Malgun Gothic" w:eastAsia="Malgun Gothic" w:hAnsi="Malgun Gothic"/>
          <w:sz w:val="19"/>
          <w:szCs w:val="19"/>
        </w:rPr>
        <w:t xml:space="preserve">현재 시가총액은 $4,305B입니다. 기준 시나리오의 내재가치 밴드는 $1,655B ~ $2,402B이므로, </w:t>
      </w:r>
      <w:r>
        <w:rPr>
          <w:rFonts w:ascii="Malgun Gothic" w:cs="Malgun Gothic" w:eastAsia="Malgun Gothic" w:hAnsi="Malgun Gothic"/>
          <w:b/>
          <w:bCs/>
          <w:sz w:val="19"/>
          <w:szCs w:val="19"/>
        </w:rPr>
        <w:t xml:space="preserve">시장은 내재가치 상단보다도 1.8배 높은 가격을 매기고 있습니다.</w:t>
      </w:r>
      <w:r>
        <w:rPr>
          <w:rFonts w:ascii="Malgun Gothic" w:cs="Malgun Gothic" w:eastAsia="Malgun Gothic" w:hAnsi="Malgun Gothic"/>
          <w:sz w:val="19"/>
          <w:szCs w:val="19"/>
        </w:rPr>
        <w:t xml:space="preserve"> 안전마진은 기준 시나리오에서 -79%로 크게 음수입니다.</w:t>
      </w:r>
    </w:p>
    <w:p>
      <w:pPr>
        <w:spacing w:after="140" w:line="288"/>
      </w:pPr>
      <w:r>
        <w:rPr>
          <w:rFonts w:ascii="Malgun Gothic" w:cs="Malgun Gothic" w:eastAsia="Malgun Gothic" w:hAnsi="Malgun Gothic"/>
          <w:sz w:val="19"/>
          <w:szCs w:val="19"/>
        </w:rPr>
        <w:t xml:space="preserve">낙관 시나리오(성장 15%, 할인율 8%)에 유지 설비투자 가정을 </w:t>
      </w:r>
      <w:r>
        <w:rPr>
          <w:rFonts w:ascii="Malgun Gothic" w:cs="Malgun Gothic" w:eastAsia="Malgun Gothic" w:hAnsi="Malgun Gothic"/>
          <w:b/>
          <w:bCs/>
          <w:sz w:val="19"/>
          <w:szCs w:val="19"/>
        </w:rPr>
        <w:t xml:space="preserve">동시에</w:t>
      </w:r>
      <w:r>
        <w:rPr>
          <w:rFonts w:ascii="Malgun Gothic" w:cs="Malgun Gothic" w:eastAsia="Malgun Gothic" w:hAnsi="Malgun Gothic"/>
          <w:sz w:val="19"/>
          <w:szCs w:val="19"/>
        </w:rPr>
        <w:t xml:space="preserve"> 적용해야만 내재가치 $5,374B로 안전마진 20%가 나옵니다. 여기에 순현금 $78B를 더해도 이 프레임워크의 투자 문턱인 30%에는 못 미칩니다.</w:t>
      </w:r>
    </w:p>
    <w:p>
      <w:pPr>
        <w:pStyle w:val="Heading3"/>
        <w:spacing w:after="100" w:before="240"/>
      </w:pPr>
      <w:r>
        <w:rPr>
          <w:rFonts w:ascii="Malgun Gothic" w:cs="Malgun Gothic" w:eastAsia="Malgun Gothic" w:hAnsi="Malgun Gothic"/>
          <w:b/>
          <w:bCs/>
          <w:color w:val="8B3A2F"/>
          <w:sz w:val="20"/>
          <w:szCs w:val="20"/>
        </w:rPr>
        <w:t xml:space="preserve">다른 각도 — 지금 가격이 요구하는 수익률</w:t>
      </w:r>
    </w:p>
    <w:p>
      <w:pPr>
        <w:spacing w:after="140" w:line="288"/>
      </w:pPr>
      <w:r>
        <w:rPr>
          <w:rFonts w:ascii="Malgun Gothic" w:cs="Malgun Gothic" w:eastAsia="Malgun Gothic" w:hAnsi="Malgun Gothic"/>
          <w:sz w:val="19"/>
          <w:szCs w:val="19"/>
        </w:rPr>
        <w:t xml:space="preserve">DCF를 거꾸로 풀면, 현재 가격에 사서 가정대로 흘러갈 때 얻게 되는 연 수익률이 나옵니다. '얼마나 싼가' 대신 '얼마를 벌게 되는가'를 묻는 방식입니다.</w:t>
      </w:r>
    </w:p>
    <w:tbl>
      <w:tblPr>
        <w:tblW w:type="dxa" w:w="9360"/>
        <w:tblBorders>
          <w:top w:val="single" w:color="BFBFBF" w:sz="2"/>
          <w:left w:val="none"/>
          <w:bottom w:val="single" w:color="BFBFBF" w:sz="2"/>
          <w:right w:val="none"/>
          <w:insideH w:val="single" w:color="D9D9D9" w:sz="1"/>
          <w:insideV w:val="none"/>
        </w:tblBorders>
      </w:tblPr>
      <w:tblGrid>
        <w:gridCol w:w="2990"/>
        <w:gridCol w:w="2860"/>
        <w:gridCol w:w="3510"/>
      </w:tblGrid>
      <w:tr>
        <w:trPr>
          <w:tblHeader/>
        </w:trPr>
        <w:tc>
          <w:tcPr>
            <w:tcW w:type="dxa" w:w="29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28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함축 연수익률</w:t>
            </w:r>
          </w:p>
        </w:tc>
        <w:tc>
          <w:tcPr>
            <w:tcW w:type="dxa" w:w="351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10년물 국채 대비</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설비투자 전액 차감</w:t>
            </w:r>
          </w:p>
        </w:tc>
        <w:tc>
          <w:tcPr>
            <w:tcW w:type="dxa" w:w="286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5.6%</w:t>
            </w:r>
          </w:p>
        </w:tc>
        <w:tc>
          <w:tcPr>
            <w:tcW w:type="dxa" w:w="351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+1.0%p</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유지 설비투자만 차감</w:t>
            </w:r>
          </w:p>
        </w:tc>
        <w:tc>
          <w:tcPr>
            <w:tcW w:type="dxa" w:w="286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6.9%</w:t>
            </w:r>
          </w:p>
        </w:tc>
        <w:tc>
          <w:tcPr>
            <w:tcW w:type="dxa" w:w="351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+2.3%p</w:t>
            </w:r>
          </w:p>
        </w:tc>
      </w:tr>
    </w:tbl>
    <w:p>
      <w:pPr>
        <w:spacing w:after="200"/>
      </w:pPr>
    </w:p>
    <w:p>
      <w:pPr>
        <w:spacing w:after="140" w:line="288"/>
      </w:pPr>
      <w:r>
        <w:rPr>
          <w:rFonts w:ascii="Malgun Gothic" w:cs="Malgun Gothic" w:eastAsia="Malgun Gothic" w:hAnsi="Malgun Gothic"/>
          <w:sz w:val="19"/>
          <w:szCs w:val="19"/>
        </w:rPr>
        <w:t xml:space="preserve">무위험 수익률 4.7%(DGS10, 2026-08-07) 대비 초과 수익이 1~2%p 남습니다. </w:t>
      </w:r>
      <w:r>
        <w:rPr>
          <w:rFonts w:ascii="Malgun Gothic" w:cs="Malgun Gothic" w:eastAsia="Malgun Gothic" w:hAnsi="Malgun Gothic"/>
          <w:b/>
          <w:bCs/>
          <w:sz w:val="19"/>
          <w:szCs w:val="19"/>
        </w:rPr>
        <w:t xml:space="preserve">주식의 위험을 감수하고 받는 대가로는 얇습니다.</w:t>
      </w:r>
      <w:r>
        <w:rPr>
          <w:rFonts w:ascii="Malgun Gothic" w:cs="Malgun Gothic" w:eastAsia="Malgun Gothic" w:hAnsi="Malgun Gothic"/>
          <w:sz w:val="19"/>
          <w:szCs w:val="19"/>
        </w:rPr>
        <w:t xml:space="preserve"> 자기자본비용 10.1%에는 한참 못 미칩니다.</w:t>
      </w:r>
    </w:p>
    <w:p>
      <w:pPr>
        <w:pStyle w:val="Heading2"/>
        <w:spacing w:after="120" w:before="300"/>
      </w:pPr>
      <w:r>
        <w:rPr>
          <w:rFonts w:ascii="Malgun Gothic" w:cs="Malgun Gothic" w:eastAsia="Malgun Gothic" w:hAnsi="Malgun Gothic"/>
          <w:b/>
          <w:bCs/>
          <w:color w:val="1F3864"/>
          <w:sz w:val="23"/>
          <w:szCs w:val="23"/>
        </w:rPr>
        <w:t xml:space="preserve">종합 판정</w:t>
      </w:r>
    </w:p>
    <w:tbl>
      <w:tblPr>
        <w:tblW w:type="dxa" w:w="9360"/>
        <w:tblBorders>
          <w:top w:val="single" w:color="BFBFBF" w:sz="2"/>
          <w:left w:val="none"/>
          <w:bottom w:val="single" w:color="BFBFBF" w:sz="2"/>
          <w:right w:val="none"/>
          <w:insideH w:val="single" w:color="D9D9D9" w:sz="1"/>
          <w:insideV w:val="none"/>
        </w:tblBorders>
      </w:tblPr>
      <w:tblGrid>
        <w:gridCol w:w="455"/>
        <w:gridCol w:w="2080"/>
        <w:gridCol w:w="1560"/>
        <w:gridCol w:w="5265"/>
      </w:tblGrid>
      <w:tr>
        <w:trPr>
          <w:tblHeader/>
        </w:trPr>
        <w:tc>
          <w:tcPr>
            <w:tcW w:type="dxa" w:w="45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w:t>
            </w:r>
          </w:p>
        </w:tc>
        <w:tc>
          <w:tcPr>
            <w:tcW w:type="dxa" w:w="208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기준</w:t>
            </w:r>
          </w:p>
        </w:tc>
        <w:tc>
          <w:tcPr>
            <w:tcW w:type="dxa" w:w="156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판정</w:t>
            </w:r>
          </w:p>
        </w:tc>
        <w:tc>
          <w:tcPr>
            <w:tcW w:type="dxa" w:w="5265"/>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근거</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w:t>
            </w:r>
          </w:p>
        </w:tc>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이해할 수 있는 사업</w:t>
            </w:r>
          </w:p>
        </w:tc>
        <w:tc>
          <w:tcPr>
            <w:tcW w:type="dxa" w:w="1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조건부 통과</w:t>
            </w:r>
          </w:p>
        </w:tc>
        <w:tc>
          <w:tcPr>
            <w:tcW w:type="dxa" w:w="526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이익은 검색 광고 한 곳. 단 AI가 '빠르고 연속적인 변화'에 해당</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2</w:t>
            </w:r>
          </w:p>
        </w:tc>
        <w:tc>
          <w:tcPr>
            <w:tcW w:type="dxa" w:w="20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기존 ROIC &gt; WACC</w:t>
            </w:r>
          </w:p>
        </w:tc>
        <w:tc>
          <w:tcPr>
            <w:tcW w:type="dxa" w:w="1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26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37.1% vs 10.0% (+27.0%p)</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3</w:t>
            </w:r>
          </w:p>
        </w:tc>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지속성 (해자)</w:t>
            </w:r>
          </w:p>
        </w:tc>
        <w:tc>
          <w:tcPr>
            <w:tcW w:type="dxa" w:w="1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26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12/12년 두 자릿수, 변동성 7.3%</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4</w:t>
            </w:r>
          </w:p>
        </w:tc>
        <w:tc>
          <w:tcPr>
            <w:tcW w:type="dxa" w:w="20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 &gt; WACC</w:t>
            </w:r>
          </w:p>
        </w:tc>
        <w:tc>
          <w:tcPr>
            <w:tcW w:type="dxa" w:w="1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(하락 중)</w:t>
            </w:r>
          </w:p>
        </w:tc>
        <w:tc>
          <w:tcPr>
            <w:tcW w:type="dxa" w:w="526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19.7% (AI 구간), 기존의 절반</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5</w:t>
            </w:r>
          </w:p>
        </w:tc>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자본배분·주주 지향성</w:t>
            </w:r>
          </w:p>
        </w:tc>
        <w:tc>
          <w:tcPr>
            <w:tcW w:type="dxa" w:w="156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w:t>
            </w:r>
          </w:p>
        </w:tc>
        <w:tc>
          <w:tcPr>
            <w:tcW w:type="dxa" w:w="526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자사주로 주식수 연 1.1% 감소. 순현금 $78B는 미배분</w:t>
            </w:r>
          </w:p>
        </w:tc>
      </w:tr>
      <w:tr>
        <w:tc>
          <w:tcPr>
            <w:tcW w:type="dxa" w:w="45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6</w:t>
            </w:r>
          </w:p>
        </w:tc>
        <w:tc>
          <w:tcPr>
            <w:tcW w:type="dxa" w:w="208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이익의 질</w:t>
            </w:r>
          </w:p>
        </w:tc>
        <w:tc>
          <w:tcPr>
            <w:tcW w:type="dxa" w:w="156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통과 (조정 필요)</w:t>
            </w:r>
          </w:p>
        </w:tc>
        <w:tc>
          <w:tcPr>
            <w:tcW w:type="dxa" w:w="5265"/>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보고 순이익에 평가익 $20.5B 포함</w:t>
            </w:r>
          </w:p>
        </w:tc>
      </w:tr>
      <w:tr>
        <w:tc>
          <w:tcPr>
            <w:tcW w:type="dxa" w:w="45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7</w:t>
            </w:r>
          </w:p>
        </w:tc>
        <w:tc>
          <w:tcPr>
            <w:tcW w:type="dxa" w:w="208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가격의 합리성</w:t>
            </w:r>
          </w:p>
        </w:tc>
        <w:tc>
          <w:tcPr>
            <w:tcW w:type="dxa" w:w="1560"/>
            <w:tcMar>
              <w:top w:type="dxa" w:w="50"/>
              <w:left w:type="dxa" w:w="80"/>
              <w:bottom w:type="dxa" w:w="50"/>
              <w:right w:type="dxa" w:w="80"/>
            </w:tcMar>
          </w:tcPr>
          <w:p>
            <w:pPr>
              <w:spacing w:after="0"/>
              <w:jc w:val="left"/>
            </w:pPr>
            <w:r>
              <w:rPr>
                <w:rFonts w:ascii="Malgun Gothic" w:cs="Malgun Gothic" w:eastAsia="Malgun Gothic" w:hAnsi="Malgun Gothic"/>
                <w:b/>
                <w:bCs/>
                <w:sz w:val="16"/>
                <w:szCs w:val="16"/>
              </w:rPr>
              <w:t xml:space="preserve">불통과</w:t>
            </w:r>
          </w:p>
        </w:tc>
        <w:tc>
          <w:tcPr>
            <w:tcW w:type="dxa" w:w="5265"/>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시가총액 $4,305B vs 내재가치 상단 $2,402B</w:t>
            </w:r>
          </w:p>
        </w:tc>
      </w:tr>
    </w:tbl>
    <w:p>
      <w:pPr>
        <w:spacing w:after="200"/>
      </w:pPr>
    </w:p>
    <w:p>
      <w:pPr>
        <w:spacing w:after="140" w:line="288"/>
      </w:pPr>
      <w:r>
        <w:rPr>
          <w:rFonts w:ascii="Malgun Gothic" w:cs="Malgun Gothic" w:eastAsia="Malgun Gothic" w:hAnsi="Malgun Gothic"/>
          <w:b/>
          <w:bCs/>
          <w:sz w:val="19"/>
          <w:szCs w:val="19"/>
        </w:rPr>
        <w:t xml:space="preserve">사업으로서 알파벳은 버핏 기준을 통과합니다. 지금 가격에서의 투자로는 통과하지 못합니다.</w:t>
      </w:r>
      <w:r>
        <w:rPr>
          <w:rFonts w:ascii="Malgun Gothic" w:cs="Malgun Gothic" w:eastAsia="Malgun Gothic" w:hAnsi="Malgun Gothic"/>
          <w:sz w:val="19"/>
          <w:szCs w:val="19"/>
        </w:rPr>
        <w:t xml:space="preserve"> 이것은 모순이 아니라 버핏 기준의 정상적인 작동 방식입니다 — 1977년의 네 조건 중 앞의 셋과 마지막 하나는 별개의 관문이고, 좋은 사업을 비싸게 사는 것은 버핏이 가장 자주 경고한 실수입니다.</w:t>
      </w:r>
    </w:p>
    <w:p>
      <w:pPr>
        <w:pStyle w:val="Heading2"/>
        <w:spacing w:after="120" w:before="300"/>
      </w:pPr>
      <w:r>
        <w:rPr>
          <w:rFonts w:ascii="Malgun Gothic" w:cs="Malgun Gothic" w:eastAsia="Malgun Gothic" w:hAnsi="Malgun Gothic"/>
          <w:b/>
          <w:bCs/>
          <w:color w:val="1F3864"/>
          <w:sz w:val="23"/>
          <w:szCs w:val="23"/>
        </w:rPr>
        <w:t xml:space="preserve">그렇다면 버크셔는 왜 샀는가</w:t>
      </w:r>
    </w:p>
    <w:p>
      <w:pPr>
        <w:spacing w:after="140" w:line="288"/>
      </w:pPr>
      <w:r>
        <w:rPr>
          <w:rFonts w:ascii="Malgun Gothic" w:cs="Malgun Gothic" w:eastAsia="Malgun Gothic" w:hAnsi="Malgun Gothic"/>
          <w:sz w:val="19"/>
          <w:szCs w:val="19"/>
        </w:rPr>
        <w:t xml:space="preserve">이 보고서 본편 7절에서 다룬 내용을 이 기준 위에서 다시 정리합니다. 버크셔는 13F 기준 Q3 2025 $4.34B로 신규 편입한 뒤 Q1 2026에 $16.63B까지 3배 넘게 늘렸습니다(EDGAR CIK 0001067983). 신고 포트폴리오의 6% 수준이라 시험 매수로 보기 어렵습니다. 이 프레임워크가 '비싸다'고 판정한 자산을 대규모로 매입한 것이므로, 어느 한쪽의 전제가 다릅니다. 가능한 설명은 세 가지입니다.</w:t>
      </w:r>
    </w:p>
    <w:p>
      <w:pPr>
        <w:pStyle w:val="ListParagraph"/>
        <w:numPr>
          <w:ilvl w:val="0"/>
          <w:numId w:val="2"/>
        </w:numPr>
        <w:spacing w:after="120" w:line="284"/>
      </w:pPr>
      <w:r>
        <w:rPr>
          <w:rFonts w:ascii="Malgun Gothic" w:cs="Malgun Gothic" w:eastAsia="Malgun Gothic" w:hAnsi="Malgun Gothic"/>
          <w:b/>
          <w:bCs/>
          <w:sz w:val="19"/>
          <w:szCs w:val="19"/>
        </w:rPr>
        <w:t xml:space="preserve">대안의 차이.</w:t>
      </w:r>
      <w:r>
        <w:rPr>
          <w:rFonts w:ascii="Malgun Gothic" w:cs="Malgun Gothic" w:eastAsia="Malgun Gothic" w:hAnsi="Malgun Gothic"/>
          <w:sz w:val="19"/>
          <w:szCs w:val="19"/>
        </w:rPr>
        <w:t xml:space="preserve"> 이 보고서의 '안전마진 30%'는 절대 기준이라 비싼 시장에서는 모든 종목에 '아니오'를 돌려주고 대화를 끝냅니다. 버크셔의 실제 대안은 4.7% 국채이고, 알파벳의 함축수익률 6.9%는 그보다 높습니다. 자본배분은 언제나 상대적입니다.</w:t>
      </w:r>
    </w:p>
    <w:p>
      <w:pPr>
        <w:pStyle w:val="ListParagraph"/>
        <w:numPr>
          <w:ilvl w:val="0"/>
          <w:numId w:val="2"/>
        </w:numPr>
        <w:spacing w:after="120" w:line="284"/>
      </w:pPr>
      <w:r>
        <w:rPr>
          <w:rFonts w:ascii="Malgun Gothic" w:cs="Malgun Gothic" w:eastAsia="Malgun Gothic" w:hAnsi="Malgun Gothic"/>
          <w:b/>
          <w:bCs/>
          <w:sz w:val="19"/>
          <w:szCs w:val="19"/>
        </w:rPr>
        <w:t xml:space="preserve">유지 설비투자 가정의 차이.</w:t>
      </w:r>
      <w:r>
        <w:rPr>
          <w:rFonts w:ascii="Malgun Gothic" w:cs="Malgun Gothic" w:eastAsia="Malgun Gothic" w:hAnsi="Malgun Gothic"/>
          <w:sz w:val="19"/>
          <w:szCs w:val="19"/>
        </w:rPr>
        <w:t xml:space="preserve"> 이 보고서가 밴드로 남겨둔 판단을 버크셔는 상단 쪽으로 내렸을 수 있습니다. 현재 설비투자 $91.4B 중 감가상각을 넘는 부분을 전부 성장 투자로 본다면 내재가치는 $2,402B이고, 성장률을 더 높게 보면 낙관 시나리오 $5,374B에 닿습니다.</w:t>
      </w:r>
    </w:p>
    <w:p>
      <w:pPr>
        <w:pStyle w:val="ListParagraph"/>
        <w:numPr>
          <w:ilvl w:val="0"/>
          <w:numId w:val="2"/>
        </w:numPr>
        <w:spacing w:after="120" w:line="284"/>
      </w:pPr>
      <w:r>
        <w:rPr>
          <w:rFonts w:ascii="Malgun Gothic" w:cs="Malgun Gothic" w:eastAsia="Malgun Gothic" w:hAnsi="Malgun Gothic"/>
          <w:b/>
          <w:bCs/>
          <w:sz w:val="19"/>
          <w:szCs w:val="19"/>
        </w:rPr>
        <w:t xml:space="preserve">기준 4에 대한 판단의 차이.</w:t>
      </w:r>
      <w:r>
        <w:rPr>
          <w:rFonts w:ascii="Malgun Gothic" w:cs="Malgun Gothic" w:eastAsia="Malgun Gothic" w:hAnsi="Malgun Gothic"/>
          <w:sz w:val="19"/>
          <w:szCs w:val="19"/>
        </w:rPr>
        <w:t xml:space="preserve"> AI 설비투자의 신규 ROIC를 19.7%가 아니라 완공 후 기준으로 본다면 — 즉 $79B의 건설 중 자산과 $243B의 계약잔고를 반영한다면 — 성장률 가정이 달라지고 낙관 시나리오가 기준 시나리오가 됩니다.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단서: 13F는 보유만 공시하고 매수 이유를 밝히지 않으므로 위는 추정입니다. 또한 버크셔의 종목 선택이 버핏 본인인지 투자 담당(Todd Combs·Ted Weschler)인지도 공시되지 않습니다.</w:t>
      </w:r>
    </w:p>
    <w:p>
      <w:pPr>
        <w:pStyle w:val="Heading1"/>
        <w:spacing w:after="160" w:before="400"/>
      </w:pPr>
      <w:r>
        <w:rPr>
          <w:rFonts w:ascii="Malgun Gothic" w:cs="Malgun Gothic" w:eastAsia="Malgun Gothic" w:hAnsi="Malgun Gothic"/>
          <w:b/>
          <w:bCs/>
          <w:color w:val="1F3864"/>
          <w:sz w:val="28"/>
          <w:szCs w:val="28"/>
        </w:rPr>
        <w:t xml:space="preserve">4부. 이번 검토에서 고친 것</w:t>
      </w:r>
    </w:p>
    <w:p>
      <w:pPr>
        <w:spacing w:after="140" w:line="288"/>
      </w:pPr>
      <w:r>
        <w:rPr>
          <w:rFonts w:ascii="Malgun Gothic" w:cs="Malgun Gothic" w:eastAsia="Malgun Gothic" w:hAnsi="Malgun Gothic"/>
          <w:sz w:val="19"/>
          <w:szCs w:val="19"/>
        </w:rPr>
        <w:t xml:space="preserve">메모에 답하는 과정에서 모델 자체의 오류를 발견해 고쳤습니다. 세 건 모두 이 프레임워크가 겨냥하는 자본이 적게 드는 대형주를 실제보다 좋게 보이게 만드는 방향의 오류였습니다. 워드·엑셀 산출물은 모두 교정 후 수치로 다시 만들었습니다.</w:t>
      </w:r>
    </w:p>
    <w:p>
      <w:pPr>
        <w:pStyle w:val="Heading3"/>
        <w:spacing w:after="100" w:before="240"/>
      </w:pPr>
      <w:r>
        <w:rPr>
          <w:rFonts w:ascii="Malgun Gothic" w:cs="Malgun Gothic" w:eastAsia="Malgun Gothic" w:hAnsi="Malgun Gothic"/>
          <w:b/>
          <w:bCs/>
          <w:color w:val="8B3A2F"/>
          <w:sz w:val="20"/>
          <w:szCs w:val="20"/>
        </w:rPr>
        <w:t xml:space="preserve">교정 ① ROIC의 분자를 보고 영업이익으로 되돌림</w:t>
      </w:r>
    </w:p>
    <w:p>
      <w:pPr>
        <w:spacing w:after="140" w:line="288"/>
      </w:pPr>
      <w:r>
        <w:rPr>
          <w:rFonts w:ascii="Malgun Gothic" w:cs="Malgun Gothic" w:eastAsia="Malgun Gothic" w:hAnsi="Malgun Gothic"/>
          <w:sz w:val="19"/>
          <w:szCs w:val="19"/>
        </w:rPr>
        <w:t xml:space="preserve">기존에는 전 종목에서 `세전이익 + 이자비용`으로 EBIT을 통일했습니다. 태깅이 회사마다 다른 문제를 피하려는 의도였는데, 이 식은 이자수익과 투자평가익까지 분자로 끌고 들어옵니다. 그런데 분모인 투하자본은 현금을 빼고 있습니다. </w:t>
      </w:r>
      <w:r>
        <w:rPr>
          <w:rFonts w:ascii="Malgun Gothic" w:cs="Malgun Gothic" w:eastAsia="Malgun Gothic" w:hAnsi="Malgun Gothic"/>
          <w:b/>
          <w:bCs/>
          <w:sz w:val="19"/>
          <w:szCs w:val="19"/>
        </w:rPr>
        <w:t xml:space="preserve">현금이 벌어들인 것을 현금을 뺀 자본으로 나누는 셈</w:t>
      </w:r>
      <w:r>
        <w:rPr>
          <w:rFonts w:ascii="Malgun Gothic" w:cs="Malgun Gothic" w:eastAsia="Malgun Gothic" w:hAnsi="Malgun Gothic"/>
          <w:sz w:val="19"/>
          <w:szCs w:val="19"/>
        </w:rPr>
        <w:t xml:space="preserve">이라 비율의 의미가 무너집니다.</w:t>
      </w:r>
    </w:p>
    <w:tbl>
      <w:tblPr>
        <w:tblW w:type="dxa" w:w="9360"/>
        <w:tblBorders>
          <w:top w:val="single" w:color="BFBFBF" w:sz="2"/>
          <w:left w:val="none"/>
          <w:bottom w:val="single" w:color="BFBFBF" w:sz="2"/>
          <w:right w:val="none"/>
          <w:insideH w:val="single" w:color="D9D9D9" w:sz="1"/>
          <w:insideV w:val="none"/>
        </w:tblBorders>
      </w:tblPr>
      <w:tblGrid>
        <w:gridCol w:w="2340"/>
        <w:gridCol w:w="2340"/>
        <w:gridCol w:w="2340"/>
        <w:gridCol w:w="2340"/>
      </w:tblGrid>
      <w:tr>
        <w:trPr>
          <w:tblHeader/>
        </w:trPr>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기업</w:t>
            </w:r>
          </w:p>
        </w:tc>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세전이익+이자비용</w:t>
            </w:r>
          </w:p>
        </w:tc>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보고 영업이익</w:t>
            </w:r>
          </w:p>
        </w:tc>
        <w:tc>
          <w:tcPr>
            <w:tcW w:type="dxa" w:w="234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차이</w:t>
            </w:r>
          </w:p>
        </w:tc>
      </w:tr>
      <w:tr>
        <w:tc>
          <w:tcPr>
            <w:tcW w:type="dxa" w:w="234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알파벳 FY2025</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$159.6B</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$129.0B</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24%</w:t>
            </w:r>
          </w:p>
        </w:tc>
      </w:tr>
      <w:tr>
        <w:tc>
          <w:tcPr>
            <w:tcW w:type="dxa" w:w="234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인텔 FY2024</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+$2.6B</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−$2.2B</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부호 역전</w:t>
            </w:r>
          </w:p>
        </w:tc>
      </w:tr>
      <w:tr>
        <w:tc>
          <w:tcPr>
            <w:tcW w:type="dxa" w:w="234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아마존 FY2025</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$99.6B</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$80.0B</w:t>
            </w:r>
          </w:p>
        </w:tc>
        <w:tc>
          <w:tcPr>
            <w:tcW w:type="dxa" w:w="234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25%</w:t>
            </w:r>
          </w:p>
        </w:tc>
      </w:tr>
      <w:tr>
        <w:tc>
          <w:tcPr>
            <w:tcW w:type="dxa" w:w="234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코카콜라 FY2025</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$17.7B</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$13.8B</w:t>
            </w:r>
          </w:p>
        </w:tc>
        <w:tc>
          <w:tcPr>
            <w:tcW w:type="dxa" w:w="234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28%</w:t>
            </w:r>
          </w:p>
        </w:tc>
      </w:tr>
    </w:tbl>
    <w:p>
      <w:pPr>
        <w:spacing w:after="200"/>
      </w:pPr>
    </w:p>
    <w:p>
      <w:pPr>
        <w:spacing w:after="140" w:line="288"/>
      </w:pPr>
      <w:r>
        <w:rPr>
          <w:rFonts w:ascii="Malgun Gothic" w:cs="Malgun Gothic" w:eastAsia="Malgun Gothic" w:hAnsi="Malgun Gothic"/>
          <w:sz w:val="19"/>
          <w:szCs w:val="19"/>
        </w:rPr>
        <w:t xml:space="preserve">34개 비금융 기업 중 10개사가 10% 넘게 어긋나 있었습니다. 보고된 영업이익을 우선으로 되돌리고, 영업이익 소계를 태깅하지 않는 연도만 종전 방식으로 대체했습니다.</w:t>
      </w:r>
    </w:p>
    <w:p>
      <w:pPr>
        <w:pStyle w:val="Heading3"/>
        <w:spacing w:after="100" w:before="240"/>
      </w:pPr>
      <w:r>
        <w:rPr>
          <w:rFonts w:ascii="Malgun Gothic" w:cs="Malgun Gothic" w:eastAsia="Malgun Gothic" w:hAnsi="Malgun Gothic"/>
          <w:b/>
          <w:bCs/>
          <w:color w:val="8B3A2F"/>
          <w:sz w:val="20"/>
          <w:szCs w:val="20"/>
        </w:rPr>
        <w:t xml:space="preserve">교정 ② 주주이익에서 투자평가손익 제외</w:t>
      </w:r>
    </w:p>
    <w:p>
      <w:pPr>
        <w:spacing w:after="140" w:line="288"/>
      </w:pPr>
      <w:r>
        <w:rPr>
          <w:rFonts w:ascii="Malgun Gothic" w:cs="Malgun Gothic" w:eastAsia="Malgun Gothic" w:hAnsi="Malgun Gothic"/>
          <w:sz w:val="19"/>
          <w:szCs w:val="19"/>
        </w:rPr>
        <w:t xml:space="preserve">주주이익의 출발점인 '보고 이익'에 보유 지분의 평가손익이 섞여 있었습니다. 알파벳 FY2025 세전 $24.6B, 버크셔 $39.1B, 엔비디아 $8.9B 규모입니다. 세후로 차감한 뒤 주주이익을 계산하도록 바꿨고, 투자평가손익을 별도 태깅하지 않는 회사는 기타손익이 영업이익의 10%를 넘을 때 그 사실을 표시하도록 했습니다.</w:t>
      </w:r>
    </w:p>
    <w:p>
      <w:pPr>
        <w:pStyle w:val="Heading3"/>
        <w:spacing w:after="100" w:before="240"/>
      </w:pPr>
      <w:r>
        <w:rPr>
          <w:rFonts w:ascii="Malgun Gothic" w:cs="Malgun Gothic" w:eastAsia="Malgun Gothic" w:hAnsi="Malgun Gothic"/>
          <w:b/>
          <w:bCs/>
          <w:color w:val="8B3A2F"/>
          <w:sz w:val="20"/>
          <w:szCs w:val="20"/>
        </w:rPr>
        <w:t xml:space="preserve">교정 ③ 대체 경로에서 주식보상비용 되더하기 제거</w:t>
      </w:r>
    </w:p>
    <w:p>
      <w:pPr>
        <w:spacing w:after="140" w:line="288"/>
      </w:pPr>
      <w:r>
        <w:rPr>
          <w:rFonts w:ascii="Malgun Gothic" w:cs="Malgun Gothic" w:eastAsia="Malgun Gothic" w:hAnsi="Malgun Gothic"/>
          <w:sz w:val="19"/>
          <w:szCs w:val="19"/>
        </w:rPr>
        <w:t xml:space="preserve">주주이익의 기본 경로(순이익 + 감가상각 − 설비투자 − 운전자본증감)에서는 주식보상비용이 이미 비용으로 빠져 있습니다. 그런데 대차대조표가 유동/비유동으로 구분되지 않아 `영업현금흐름 − 설비투자`로 대체하는 42개 연도행에서는, 영업현금흐름이 주식보상비용을 비현금항목으로 되더해 놓습니다. 같은 회사가 어느 경로를 타느냐에 따라 다르게 평가되던 것을 정합화했습니다. 근거는 2.6절의 1992년 서한입니다.</w:t>
      </w:r>
    </w:p>
    <w:p>
      <w:pPr>
        <w:pStyle w:val="Heading3"/>
        <w:spacing w:after="100" w:before="240"/>
      </w:pPr>
      <w:r>
        <w:rPr>
          <w:rFonts w:ascii="Malgun Gothic" w:cs="Malgun Gothic" w:eastAsia="Malgun Gothic" w:hAnsi="Malgun Gothic"/>
          <w:b/>
          <w:bCs/>
          <w:color w:val="8B3A2F"/>
          <w:sz w:val="20"/>
          <w:szCs w:val="20"/>
        </w:rPr>
        <w:t xml:space="preserve">알파벳에 미친 영향</w:t>
      </w:r>
    </w:p>
    <w:tbl>
      <w:tblPr>
        <w:tblW w:type="dxa" w:w="9360"/>
        <w:tblBorders>
          <w:top w:val="single" w:color="BFBFBF" w:sz="2"/>
          <w:left w:val="none"/>
          <w:bottom w:val="single" w:color="BFBFBF" w:sz="2"/>
          <w:right w:val="none"/>
          <w:insideH w:val="single" w:color="D9D9D9" w:sz="1"/>
          <w:insideV w:val="none"/>
        </w:tblBorders>
      </w:tblPr>
      <w:tblGrid>
        <w:gridCol w:w="2990"/>
        <w:gridCol w:w="3120"/>
        <w:gridCol w:w="3250"/>
      </w:tblGrid>
      <w:tr>
        <w:trPr>
          <w:tblHeader/>
        </w:trPr>
        <w:tc>
          <w:tcPr>
            <w:tcW w:type="dxa" w:w="299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지표</w:t>
            </w:r>
          </w:p>
        </w:tc>
        <w:tc>
          <w:tcPr>
            <w:tcW w:type="dxa" w:w="312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교정 전</w:t>
            </w:r>
          </w:p>
        </w:tc>
        <w:tc>
          <w:tcPr>
            <w:tcW w:type="dxa" w:w="3250"/>
            <w:shd w:fill="1F3864" w:color="auto" w:val="clear"/>
            <w:tcMar>
              <w:top w:type="dxa" w:w="60"/>
              <w:left w:type="dxa" w:w="80"/>
              <w:bottom w:type="dxa" w:w="60"/>
              <w:right w:type="dxa" w:w="80"/>
            </w:tcMar>
          </w:tcPr>
          <w:p>
            <w:pPr>
              <w:spacing w:after="0"/>
              <w:jc w:val="center"/>
            </w:pPr>
            <w:r>
              <w:rPr>
                <w:rFonts w:ascii="Malgun Gothic" w:cs="Malgun Gothic" w:eastAsia="Malgun Gothic" w:hAnsi="Malgun Gothic"/>
                <w:b/>
                <w:bCs/>
                <w:color w:val="FFFFFF"/>
                <w:sz w:val="16"/>
                <w:szCs w:val="16"/>
              </w:rPr>
              <w:t xml:space="preserve">교정 후</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(FY2025)</w:t>
            </w:r>
          </w:p>
        </w:tc>
        <w:tc>
          <w:tcPr>
            <w:tcW w:type="dxa" w:w="31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45.7%</w:t>
            </w:r>
          </w:p>
        </w:tc>
        <w:tc>
          <w:tcPr>
            <w:tcW w:type="dxa" w:w="32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36.9%</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ROIC 중앙값</w:t>
            </w:r>
          </w:p>
        </w:tc>
        <w:tc>
          <w:tcPr>
            <w:tcW w:type="dxa" w:w="31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37.7%</w:t>
            </w:r>
          </w:p>
        </w:tc>
        <w:tc>
          <w:tcPr>
            <w:tcW w:type="dxa" w:w="32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37.1%</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신규 ROIC (전체 기간)</w:t>
            </w:r>
          </w:p>
        </w:tc>
        <w:tc>
          <w:tcPr>
            <w:tcW w:type="dxa" w:w="31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40.5%</w:t>
            </w:r>
          </w:p>
        </w:tc>
        <w:tc>
          <w:tcPr>
            <w:tcW w:type="dxa" w:w="32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31.9%</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영업이익률 (FY2025)</w:t>
            </w:r>
          </w:p>
        </w:tc>
        <w:tc>
          <w:tcPr>
            <w:tcW w:type="dxa" w:w="31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39.6%</w:t>
            </w:r>
          </w:p>
        </w:tc>
        <w:tc>
          <w:tcPr>
            <w:tcW w:type="dxa" w:w="32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32.0%</w:t>
            </w:r>
          </w:p>
        </w:tc>
      </w:tr>
      <w:tr>
        <w:tc>
          <w:tcPr>
            <w:tcW w:type="dxa" w:w="2990"/>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주주이익 (FY2025)</w:t>
            </w:r>
          </w:p>
        </w:tc>
        <w:tc>
          <w:tcPr>
            <w:tcW w:type="dxa" w:w="312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$66.6B</w:t>
            </w:r>
          </w:p>
        </w:tc>
        <w:tc>
          <w:tcPr>
            <w:tcW w:type="dxa" w:w="3250"/>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$46.2B</w:t>
            </w:r>
          </w:p>
        </w:tc>
      </w:tr>
      <w:tr>
        <w:tc>
          <w:tcPr>
            <w:tcW w:type="dxa" w:w="2990"/>
            <w:shd w:fill="F2F4F8" w:color="auto" w:val="clear"/>
            <w:tcMar>
              <w:top w:type="dxa" w:w="50"/>
              <w:left w:type="dxa" w:w="80"/>
              <w:bottom w:type="dxa" w:w="50"/>
              <w:right w:type="dxa" w:w="80"/>
            </w:tcMar>
          </w:tcPr>
          <w:p>
            <w:pPr>
              <w:spacing w:after="0"/>
              <w:jc w:val="left"/>
            </w:pPr>
            <w:r>
              <w:rPr>
                <w:rFonts w:ascii="Malgun Gothic" w:cs="Malgun Gothic" w:eastAsia="Malgun Gothic" w:hAnsi="Malgun Gothic"/>
                <w:sz w:val="16"/>
                <w:szCs w:val="16"/>
              </w:rPr>
              <w:t xml:space="preserve">내재가치 기준 밴드</w:t>
            </w:r>
          </w:p>
        </w:tc>
        <w:tc>
          <w:tcPr>
            <w:tcW w:type="dxa" w:w="312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$1,647B ~ $2,661B</w:t>
            </w:r>
          </w:p>
        </w:tc>
        <w:tc>
          <w:tcPr>
            <w:tcW w:type="dxa" w:w="3250"/>
            <w:shd w:fill="F2F4F8" w:color="auto" w:val="clear"/>
            <w:tcMar>
              <w:top w:type="dxa" w:w="50"/>
              <w:left w:type="dxa" w:w="80"/>
              <w:bottom w:type="dxa" w:w="50"/>
              <w:right w:type="dxa" w:w="80"/>
            </w:tcMar>
          </w:tcPr>
          <w:p>
            <w:pPr>
              <w:spacing w:after="0"/>
              <w:jc w:val="right"/>
            </w:pPr>
            <w:r>
              <w:rPr>
                <w:rFonts w:ascii="Malgun Gothic" w:cs="Malgun Gothic" w:eastAsia="Malgun Gothic" w:hAnsi="Malgun Gothic"/>
                <w:sz w:val="16"/>
                <w:szCs w:val="16"/>
              </w:rPr>
              <w:t xml:space="preserve">$1,655B ~ $2,402B</w:t>
            </w:r>
          </w:p>
        </w:tc>
      </w:tr>
    </w:tbl>
    <w:p>
      <w:pPr>
        <w:spacing w:after="200"/>
      </w:pPr>
    </w:p>
    <w:p>
      <w:pPr>
        <w:spacing w:after="140" w:line="288"/>
      </w:pPr>
      <w:r>
        <w:rPr>
          <w:rFonts w:ascii="Malgun Gothic" w:cs="Malgun Gothic" w:eastAsia="Malgun Gothic" w:hAnsi="Malgun Gothic"/>
          <w:sz w:val="19"/>
          <w:szCs w:val="19"/>
        </w:rPr>
        <w:t xml:space="preserve">판정 자체는 바뀌지 않았습니다 — 교정 전에도 후에도 알파벳은 기준 시나리오에서 비쌉니다. 달라진 것은 </w:t>
      </w:r>
      <w:r>
        <w:rPr>
          <w:rFonts w:ascii="Malgun Gothic" w:cs="Malgun Gothic" w:eastAsia="Malgun Gothic" w:hAnsi="Malgun Gothic"/>
          <w:b/>
          <w:bCs/>
          <w:sz w:val="19"/>
          <w:szCs w:val="19"/>
        </w:rPr>
        <w:t xml:space="preserve">얼마나 비싼가</w:t>
      </w:r>
      <w:r>
        <w:rPr>
          <w:rFonts w:ascii="Malgun Gothic" w:cs="Malgun Gothic" w:eastAsia="Malgun Gothic" w:hAnsi="Malgun Gothic"/>
          <w:sz w:val="19"/>
          <w:szCs w:val="19"/>
        </w:rPr>
        <w:t xml:space="preserve">이고, 교정 후가 더 비싸게 나옵니다.</w:t>
      </w:r>
    </w:p>
    <w:p>
      <w:pPr>
        <w:pBdr>
          <w:left w:val="single" w:color="BFBFBF" w:sz="12" w:space="10"/>
        </w:pBdr>
        <w:spacing w:after="180" w:before="100" w:line="264"/>
        <w:ind w:left="200"/>
      </w:pPr>
      <w:r>
        <w:rPr>
          <w:rFonts w:ascii="Malgun Gothic" w:cs="Malgun Gothic" w:eastAsia="Malgun Gothic" w:hAnsi="Malgun Gothic"/>
          <w:color w:val="595959"/>
          <w:sz w:val="17"/>
          <w:szCs w:val="17"/>
        </w:rPr>
        <w:t xml:space="preserve">검증 상태: calc.py 자체 테스트 31건 통과, PHASE 6에서 50개사 전부 원본 10-K 대조 통과, 감사 스크립트 HIGH 등급 지적 0건, 엑셀 워크북 수식 9,040개가 모두 분석 엔진과 일치.</w:t>
      </w:r>
    </w:p>
    <w:sectPr>
      <w:pgSz w:w="12240" w:h="15840" w:orient="portrait"/>
      <w:pgMar w:top="1152" w:right="1080" w:bottom="1152"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2026-08-29T07:08:18.655Z</dcterms:created>
  <dcterms:modified xsi:type="dcterms:W3CDTF">2026-08-29T07:08:18.655Z</dcterms:modified>
</cp:coreProperties>
</file>

<file path=docProps/custom.xml><?xml version="1.0" encoding="utf-8"?>
<Properties xmlns="http://schemas.openxmlformats.org/officeDocument/2006/custom-properties" xmlns:vt="http://schemas.openxmlformats.org/officeDocument/2006/docPropsVTypes"/>
</file>