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삼성전자·SK하이닉스 가치평가</w:t>
      </w:r>
    </w:p>
    <w:p>
      <w:pPr>
        <w:pBdr>
          <w:bottom w:val="single" w:color="1F3864" w:sz="8" w:space="8"/>
        </w:pBdr>
        <w:spacing w:after="32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미국 50개사·알파벳과 동일한 DCF 기준 적용 · 1차 자료 기반 · 생성 2026-09-01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요약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초판 보고서는 삼성전자와 SK하이닉스를 정량 분석에서 제외했습니다. 두 회사가 SEC 등록기업이 아니어서, 미국 50개사에 적용한 '모든 숫자가 제출서류까지 추적된다'는 기준을 맞출 수 없었기 때문입니다.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이번에는 두 곳 모두 1차 자료를 확보해 같은 기준으로 가치평가했습니다.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삼성전자</w:t>
            </w:r>
          </w:p>
        </w:tc>
        <w:tc>
          <w:tcPr>
            <w:tcW w:type="dxa" w:w="29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SK하이닉스</w:t>
            </w:r>
          </w:p>
        </w:tc>
      </w:tr>
      <w:t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주가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₩261,000 (보통주)</w:t>
            </w:r>
          </w:p>
        </w:tc>
        <w:tc>
          <w:tcPr>
            <w:tcW w:type="dxa" w:w="2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₩1,693,000</w:t>
            </w:r>
          </w:p>
        </w:tc>
      </w:tr>
      <w:tr>
        <w:tc>
          <w:tcPr>
            <w:tcW w:type="dxa" w:w="3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시가총액</w:t>
            </w:r>
          </w:p>
        </w:tc>
        <w:tc>
          <w:tcPr>
            <w:tcW w:type="dxa" w:w="30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₩1,674조 ($1,213B)</w:t>
            </w:r>
          </w:p>
        </w:tc>
        <w:tc>
          <w:tcPr>
            <w:tcW w:type="dxa" w:w="29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₩1,188조 ($861B)</w:t>
            </w:r>
          </w:p>
        </w:tc>
      </w:tr>
      <w:t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DCF 적정가치 — 사이클 정규화 기준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₩89,596</w:t>
            </w:r>
          </w:p>
        </w:tc>
        <w:tc>
          <w:tcPr>
            <w:tcW w:type="dxa" w:w="2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₩489,301</w:t>
            </w:r>
          </w:p>
        </w:tc>
      </w:tr>
      <w:tr>
        <w:tc>
          <w:tcPr>
            <w:tcW w:type="dxa" w:w="3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DCF 적정가치 — 현재 실적 연환산 기준</w:t>
            </w:r>
          </w:p>
        </w:tc>
        <w:tc>
          <w:tcPr>
            <w:tcW w:type="dxa" w:w="30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₩471,317</w:t>
            </w:r>
          </w:p>
        </w:tc>
        <w:tc>
          <w:tcPr>
            <w:tcW w:type="dxa" w:w="29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₩2,703,857</w:t>
            </w:r>
          </w:p>
        </w:tc>
      </w:tr>
      <w:tr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현재가가 전제하는 정상 영업이익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₩152.6조</w:t>
            </w:r>
          </w:p>
        </w:tc>
        <w:tc>
          <w:tcPr>
            <w:tcW w:type="dxa" w:w="2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₩122.4조</w:t>
            </w:r>
          </w:p>
        </w:tc>
      </w:tr>
      <w:tr>
        <w:tc>
          <w:tcPr>
            <w:tcW w:type="dxa" w:w="3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그것은 현재 연환산 실적의</w:t>
            </w:r>
          </w:p>
        </w:tc>
        <w:tc>
          <w:tcPr>
            <w:tcW w:type="dxa" w:w="30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52%</w:t>
            </w:r>
          </w:p>
        </w:tc>
        <w:tc>
          <w:tcPr>
            <w:tcW w:type="dxa" w:w="29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62%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두 회사의 답은 '싸다'도 '비싸다'도 아니라 '무엇을 믿느냐에 전적으로 달려 있다'입니다.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과거 10년의 평균적인 수익성이 정상이라고 보면 두 주식 모두 현재가의 3분의 1 수준이 적정가입니다. 지금 벌고 있는 속도가 유지된다고 보면 현재가의 1.6~1.8배가 적정가입니다. 이만큼 폭이 벌어지는 종목은 미국 50개사 중에 없습니다.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시장은 그 사이 어딘가를 가리키고 있습니다. 현재 주가를 정당화하려면 삼성전자는 지금 벌고 있는 속도의 52%, SK하이닉스는 62%가 영구히 유지되어야 합니다. 그것을 영업이익률로 옮기면 삼성전자 25.0%, SK하이닉스 46.4%입니다.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수치를 각 회사의 역대 최고 이익률과 나란히 두면 판단의 성격이 분명해집니다.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삼성전자의 역대 최고 영업이익률은 24.2%(FY2018)였습니다. 즉 시장은 삼성전자가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역대 최고 수준의 수익성을 영구히 유지한다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고 가정하고 있습니다. SK하이닉스에 대해서는 관측된 3개 연도의 중앙값 35.5%을 크게 웃도는 수준을 가정하고 있습니다.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보고서의 결론은 목표주가가 아니라, 그 전제가 타당한지를 판단할 재료를 정리하는 데 있습니다.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이번에는 왜 가능해졌는가 — 자료 출처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초판에 이렇게 적었습니다.</w:t>
      </w:r>
    </w:p>
    <w:p>
      <w:pPr>
        <w:pBdr>
          <w:left w:val="single" w:color="1F3864" w:sz="18" w:space="12"/>
        </w:pBdr>
        <w:spacing w:after="40" w:before="160" w:line="280"/>
        <w:ind w:left="360" w:right="200"/>
      </w:pPr>
      <w:r>
        <w:rPr>
          <w:rFonts w:ascii="Malgun Gothic" w:cs="Malgun Gothic" w:eastAsia="Malgun Gothic" w:hAnsi="Malgun Gothic"/>
          <w:i/>
          <w:iCs/>
          <w:color w:val="1A1A1A"/>
          <w:sz w:val="18"/>
          <w:szCs w:val="18"/>
        </w:rPr>
        <w:t xml:space="preserve">"이 절에는 정량 수치가 없습니다. 삼성전자와 SK하이닉스는 SEC 등록 기업이 아니라 감사받은 재무제표를 DART에 제출하며, OpenDART API는 이 환경에 없는 인증키를 요구합니다. 앞의 50개사는 모든 숫자가 제출서류의 접수번호까지 추적되는데, 이 두 곳만 기억에 의존해 숫자를 적으면 보고서 전체의 기준이 무너집니다."</w:t>
      </w:r>
    </w:p>
    <w:p>
      <w:pPr>
        <w:spacing w:after="200"/>
        <w:ind w:left="360"/>
        <w:jc w:val="right"/>
      </w:pPr>
      <w:r>
        <w:rPr>
          <w:rFonts w:ascii="Malgun Gothic" w:cs="Malgun Gothic" w:eastAsia="Malgun Gothic" w:hAnsi="Malgun Gothic"/>
          <w:color w:val="595959"/>
          <w:sz w:val="16"/>
          <w:szCs w:val="16"/>
        </w:rPr>
        <w:t xml:space="preserve">— 초판 보고서 6절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그 제약이 두 가지 이유로 풀렸습니다.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SK하이닉스 — 이제 SEC 제출서류가 있습니다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SK하이닉스는 2026년 7월 나스닥에 미국주식예탁증서(ADS)를 상장했습니다(종목코드 SKHY, CIK 2120882).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그 과정에서 제출한 Form F-1 최종 투자설명서(424B4, 접수번호 0001193125-26-299963)에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감사받은 연결재무제표 FY2023·FY2024·FY2025 3개 연도</w:t>
      </w:r>
      <w:r>
        <w:rPr>
          <w:rFonts w:ascii="Malgun Gothic" w:cs="Malgun Gothic" w:eastAsia="Malgun Gothic" w:hAnsi="Malgun Gothic"/>
          <w:sz w:val="19"/>
          <w:szCs w:val="19"/>
        </w:rPr>
        <w:t xml:space="preserve">가 실려 있습니다. 미국 50개사와 정확히 같은 출처입니다.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여기에 2026년 8월 18일 제출된 Form 6-K(접수번호 0001193125-26-354777)에서 2026년 상반기 실적을 가져왔습니다.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삼성전자 — 회사가 공개하는 감사보고서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삼성전자는 SEC 등록기업이 아니지만,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감사받은 연결재무제표 원문을 회사 IR 사이트에 연도별 PDF로 공개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하고 있습니다. DART에 제출하는 것과 같은 문서이고 감사인의 감사보고서가 붙어 있습니다. FY2016~FY2025 10개 연도분을 내려받아 재무상태표·손익계산서·현금흐름표·주석을 직접 파싱했습니다.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2026년 상반기는 같은 사이트의 검토받은 요약중간연결재무제표에서 가져왔습니다.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삼성전자</w:t>
            </w:r>
          </w:p>
        </w:tc>
        <w:tc>
          <w:tcPr>
            <w:tcW w:type="dxa" w:w="36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SK하이닉스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자료 성격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회사 공개 감사받은 연결재무제표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SEC 제출 Form F-1 내 감사받은 연결재무제표</w:t>
            </w:r>
          </w:p>
        </w:tc>
      </w:tr>
      <w:tr>
        <w:tc>
          <w:tcPr>
            <w:tcW w:type="dxa" w:w="20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확보 연도</w:t>
            </w:r>
          </w:p>
        </w:tc>
        <w:tc>
          <w:tcPr>
            <w:tcW w:type="dxa" w:w="37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FY2015~FY2025 (11개 연도)</w:t>
            </w:r>
          </w:p>
        </w:tc>
        <w:tc>
          <w:tcPr>
            <w:tcW w:type="dxa" w:w="36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FY2023~FY2025 (3개 연도)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최신 중간실적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 상반기 (검토받은 중간재무제표)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 상반기 (Form 6-K)</w:t>
            </w:r>
          </w:p>
        </w:tc>
      </w:tr>
      <w:tr>
        <w:tc>
          <w:tcPr>
            <w:tcW w:type="dxa" w:w="20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신뢰등급</w:t>
            </w:r>
          </w:p>
        </w:tc>
        <w:tc>
          <w:tcPr>
            <w:tcW w:type="dxa" w:w="37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HIGH</w:t>
            </w:r>
          </w:p>
        </w:tc>
        <w:tc>
          <w:tcPr>
            <w:tcW w:type="dxa" w:w="36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한계</w:t>
            </w:r>
          </w:p>
        </w:tc>
        <w:tc>
          <w:tcPr>
            <w:tcW w:type="dxa" w:w="3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SEC 제출서류가 아니므로 접수번호 대신 문서 URL로 추적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감사받은 연간 시계열이 3년뿐 — 완전한 사이클을 담지 못함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두 회사의 재무제표는 XBRL 태그가 아니라 PDF 텍스트와 HTML 표에서 읽었기 때문에, 파싱 오류가 '에러'가 아니라 '그럴듯한 숫자'로 나타납니다. 그래서 별도 검증 스크립트(work/verify_korea.py)로 114개 항목을 점검했습니다 — 세전이익 − 법인세 = 순이익 같은 항등식, 이익률·부채비율의 현실적 범위, 설비투자와 감가상각의 배수 등입니다. 실제로 이 검증이 오류 두 건을 잡아냈습니다(주석 참조).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적용한 가치평가 기준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알파벳에 쓴 것과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구조가 동일한</w:t>
      </w:r>
      <w:r>
        <w:rPr>
          <w:rFonts w:ascii="Malgun Gothic" w:cs="Malgun Gothic" w:eastAsia="Malgun Gothic" w:hAnsi="Malgun Gothic"/>
          <w:sz w:val="19"/>
          <w:szCs w:val="19"/>
        </w:rPr>
        <w:t xml:space="preserve"> 할인현금흐름 모형입니다.</w:t>
      </w:r>
    </w:p>
    <w:p>
      <w:pPr>
        <w:shd w:fill="F2F4F8" w:color="auto" w:val="clear"/>
        <w:spacing w:after="180" w:before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잉여현금흐름 = NOPAT × (1 − 성장률 ÷ 신규 ROIC)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NOPAT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보고된 영업이익 × (1 − 실효세율). 영업이익을 쓰는 이유는 투하자본이 현금을 빼고 있어서, 현금·투자자산이 버는 금융수익도 분자에서 빠져야 하기 때문입니다.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재투자율을 가정하지 않습니다.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g = 재투자율 × 신규 ROIC라는 항등식이 있으므로 성장률과 신규 ROIC를 정하면 재투자율이 따라 나옵니다. 성장을 높게 잡으면 재투자가 자동으로 늘어 잉여현금흐름이 줄어듭니다 — 자본 없이 성장하는 시나리오가 구조적으로 불가능합니다.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10년 예측 + 영구가치.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성장률은 1년차에서 10년차로 선형 감속하고, 영구가치도 같은 항등식으로 계산합니다.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순현금을 마지막에 더합니다.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DCF는 사업이 벌 미래 현금의 현재가치이고, 순현금은 그와 별개로 이미 있는 자산입니다.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시나리오 가정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보수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중립</w:t>
            </w:r>
          </w:p>
        </w:tc>
        <w:tc>
          <w:tcPr>
            <w:tcW w:type="dxa" w:w="21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낙관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1년차 성장률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2%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5%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9%</w:t>
            </w:r>
          </w:p>
        </w:tc>
      </w:tr>
      <w:tr>
        <w:tc>
          <w:tcPr>
            <w:tcW w:type="dxa" w:w="2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10년차 성장률</w:t>
            </w:r>
          </w:p>
        </w:tc>
        <w:tc>
          <w:tcPr>
            <w:tcW w:type="dxa" w:w="2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1.0%</w:t>
            </w:r>
          </w:p>
        </w:tc>
        <w:tc>
          <w:tcPr>
            <w:tcW w:type="dxa" w:w="2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2.5%</w:t>
            </w:r>
          </w:p>
        </w:tc>
        <w:tc>
          <w:tcPr>
            <w:tcW w:type="dxa" w:w="21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4.0%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신규 ROIC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8%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13%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20%</w:t>
            </w:r>
          </w:p>
        </w:tc>
      </w:tr>
      <w:tr>
        <w:tc>
          <w:tcPr>
            <w:tcW w:type="dxa" w:w="2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할인율</w:t>
            </w:r>
          </w:p>
        </w:tc>
        <w:tc>
          <w:tcPr>
            <w:tcW w:type="dxa" w:w="2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12%</w:t>
            </w:r>
          </w:p>
        </w:tc>
        <w:tc>
          <w:tcPr>
            <w:tcW w:type="dxa" w:w="2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10%</w:t>
            </w:r>
          </w:p>
        </w:tc>
        <w:tc>
          <w:tcPr>
            <w:tcW w:type="dxa" w:w="21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8%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영구성장률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1.5%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2.0%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2.5%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할인율은 알파벳과 같은 값을 씁니다.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한국 10년물 국고채 금리가 4.2%(2026-06)로 미국 10년물 4.7%와 큰 차이가 없어, 국가위험 조정을 따로 넣지 않고 그 사실만 밝혀 둡니다.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성장률과 신규 ROIC는 각 회사의 실측치에서 잡았습니다.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알파벳에서 중립 시나리오의 신규 ROIC 20%를 실측 3년 롤링 24.7%에서 가져온 것과 같은 방식입니다. 두 반도체 회사의 실측치는 5절에서 제시합니다.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먼저 짚어야 할 것 — 사이클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이 두 회사에는 알파벳에 없던 문제가 있습니다.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어느 해를 출발점으로 삼느냐에 따라 답이 몇 배씩 달라집니다.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삼성전자</w:t>
            </w:r>
          </w:p>
        </w:tc>
        <w:tc>
          <w:tcPr>
            <w:tcW w:type="dxa" w:w="33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SK하이닉스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영업이익률 최저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2.5% (FY2023)</w:t>
            </w:r>
          </w:p>
        </w:tc>
        <w:tc>
          <w:tcPr>
            <w:tcW w:type="dxa" w:w="3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-23.6% (FY2023)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영업이익률 최고</w:t>
            </w:r>
          </w:p>
        </w:tc>
        <w:tc>
          <w:tcPr>
            <w:tcW w:type="dxa" w:w="3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24.2% (FY2018)</w:t>
            </w:r>
          </w:p>
        </w:tc>
        <w:tc>
          <w:tcPr>
            <w:tcW w:type="dxa" w:w="33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48.6% (FY2025)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영업이익률 중앙값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14.4%</w:t>
            </w:r>
          </w:p>
        </w:tc>
        <w:tc>
          <w:tcPr>
            <w:tcW w:type="dxa" w:w="3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35.5%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 상반기 영업이익률</w:t>
            </w:r>
          </w:p>
        </w:tc>
        <w:tc>
          <w:tcPr>
            <w:tcW w:type="dxa" w:w="3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48.0%</w:t>
            </w:r>
          </w:p>
        </w:tc>
        <w:tc>
          <w:tcPr>
            <w:tcW w:type="dxa" w:w="33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74.4%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관측 구간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FY2015..FY2025</w:t>
            </w:r>
          </w:p>
        </w:tc>
        <w:tc>
          <w:tcPr>
            <w:tcW w:type="dxa" w:w="3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FY2023..FY2025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SK하이닉스는 FY2023에 영업손실 −₩7.7조를 냈고, FY2025에 영업이익 ₩47.2조를 냈습니다.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2년 만에 적자에서 사상 최대 이익으로 갔습니다.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그리고 2026년 상반기에는 반기만으로 ₩98.2조를 벌어, FY2025 연간 이익의 두 배를 반년에 냈습니다.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삼성전자도 방향은 같습니다. 2026년 상반기 영업이익 ₩146.7조는 전년 동기 ₩11.4조의 12.9배이고, FY2025 연간 영업이익 ₩43.6조의 세 배가 넘습니다.</w:t>
      </w:r>
    </w:p>
    <w:p>
      <w:pPr>
        <w:pBdr>
          <w:left w:val="single" w:color="1F3864" w:sz="18" w:space="12"/>
        </w:pBdr>
        <w:spacing w:after="40" w:before="160" w:line="280"/>
        <w:ind w:left="360" w:right="200"/>
      </w:pPr>
      <w:r>
        <w:rPr>
          <w:rFonts w:ascii="Malgun Gothic" w:cs="Malgun Gothic" w:eastAsia="Malgun Gothic" w:hAnsi="Malgun Gothic"/>
          <w:i/>
          <w:iCs/>
          <w:color w:val="1A1A1A"/>
          <w:sz w:val="18"/>
          <w:szCs w:val="18"/>
        </w:rPr>
        <w:t xml:space="preserve">"가격 문제를 제쳐두면, 소유하기 가장 좋은 사업은 오랜 기간에 걸쳐 많은 양의 증분 자본을 아주 높은 수익률로 투입할 수 있는 사업이다. 최악의 사업은 그 반대를 해야만 하는 사업이다 — 즉 계속 늘어나는 자본을 아주 낮은 수익률로 투입해야 하는 사업이다."</w:t>
      </w:r>
    </w:p>
    <w:p>
      <w:pPr>
        <w:spacing w:after="200"/>
        <w:ind w:left="360"/>
        <w:jc w:val="right"/>
      </w:pPr>
      <w:r>
        <w:rPr>
          <w:rFonts w:ascii="Malgun Gothic" w:cs="Malgun Gothic" w:eastAsia="Malgun Gothic" w:hAnsi="Malgun Gothic"/>
          <w:color w:val="595959"/>
          <w:sz w:val="16"/>
          <w:szCs w:val="16"/>
        </w:rPr>
        <w:t xml:space="preserve">— 버크셔 해서웨이 1992년 주주서한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그래서 이 보고서는 출발점을 네 가지로 나누어 각각 계산합니다.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하나를 고르고 그것이 정답인 척하는 것이 이런 회사에서 가장 흔한 실수입니다.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출발점</w:t>
            </w:r>
          </w:p>
        </w:tc>
        <w:tc>
          <w:tcPr>
            <w:tcW w:type="dxa" w:w="4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27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편향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최근년도 (FY2025)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가장 최근에 감사받은 온전한 1년</w:t>
            </w:r>
          </w:p>
        </w:tc>
        <w:tc>
          <w:tcPr>
            <w:tcW w:type="dxa" w:w="2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이미 회복 국면 — 지금 실적과는 한참 떨어져 있음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사이클 정규화 — 중앙값</w:t>
            </w:r>
          </w:p>
        </w:tc>
        <w:tc>
          <w:tcPr>
            <w:tcW w:type="dxa" w:w="40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관측 연도 영업이익률의 중앙값을 최근 매출에 적용</w:t>
            </w:r>
          </w:p>
        </w:tc>
        <w:tc>
          <w:tcPr>
            <w:tcW w:type="dxa" w:w="27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관측 구간이 짧으면 사이클을 대표하지 못함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사이클 정규화 — 평균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산술평균 적용</w:t>
            </w:r>
          </w:p>
        </w:tc>
        <w:tc>
          <w:tcPr>
            <w:tcW w:type="dxa" w:w="2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적자 연도의 무게가 중앙값보다 큼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실적 연환산</w:t>
            </w:r>
          </w:p>
        </w:tc>
        <w:tc>
          <w:tcPr>
            <w:tcW w:type="dxa" w:w="40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 상반기 실적 × 2</w:t>
            </w:r>
          </w:p>
        </w:tc>
        <w:tc>
          <w:tcPr>
            <w:tcW w:type="dxa" w:w="27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메모리 가격이 영원히 유지된다는 가정 — 명백한 상한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삼성전자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4.1 지금 어디에 서 있는가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값</w:t>
            </w:r>
          </w:p>
        </w:tc>
        <w:tc>
          <w:tcPr>
            <w:tcW w:type="dxa" w:w="47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주가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₩261,000</w:t>
            </w:r>
          </w:p>
        </w:tc>
        <w:tc>
          <w:tcPr>
            <w:tcW w:type="dxa" w:w="4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네이버 금융 일별시세 (005930 / 005935), 2026-09-01 종가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유통주식수</w:t>
            </w:r>
          </w:p>
        </w:tc>
        <w:tc>
          <w:tcPr>
            <w:tcW w:type="dxa" w:w="2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6,630,180,138주</w:t>
            </w:r>
          </w:p>
        </w:tc>
        <w:tc>
          <w:tcPr>
            <w:tcW w:type="dxa" w:w="47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보통주·우선주 모두 자기주식 차감 후 유통주식수 (FY2025 감사보고서 자본 주석). 우선주는 별도 종목코드 005935로 거래되므로 각자의 종가로 평가했습니다.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시가총액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₩1,674조</w:t>
            </w:r>
          </w:p>
        </w:tc>
        <w:tc>
          <w:tcPr>
            <w:tcW w:type="dxa" w:w="4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$1,213B (환율 1,379.41원/$, 2026-08-28)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FY2025 매출</w:t>
            </w:r>
          </w:p>
        </w:tc>
        <w:tc>
          <w:tcPr>
            <w:tcW w:type="dxa" w:w="2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₩333.6조</w:t>
            </w:r>
          </w:p>
        </w:tc>
        <w:tc>
          <w:tcPr>
            <w:tcW w:type="dxa" w:w="47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FY2025 영업이익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₩43.6조</w:t>
            </w:r>
          </w:p>
        </w:tc>
        <w:tc>
          <w:tcPr>
            <w:tcW w:type="dxa" w:w="4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영업이익률 13.1%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 상반기 매출</w:t>
            </w:r>
          </w:p>
        </w:tc>
        <w:tc>
          <w:tcPr>
            <w:tcW w:type="dxa" w:w="2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₩305.4조</w:t>
            </w:r>
          </w:p>
        </w:tc>
        <w:tc>
          <w:tcPr>
            <w:tcW w:type="dxa" w:w="47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 상반기 (검토받은 요약중간연결재무제표)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 상반기 영업이익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₩146.7조</w:t>
            </w:r>
          </w:p>
        </w:tc>
        <w:tc>
          <w:tcPr>
            <w:tcW w:type="dxa" w:w="4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영업이익률 48.0%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순현금</w:t>
            </w:r>
          </w:p>
        </w:tc>
        <w:tc>
          <w:tcPr>
            <w:tcW w:type="dxa" w:w="2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₩100.6조</w:t>
            </w:r>
          </w:p>
        </w:tc>
        <w:tc>
          <w:tcPr>
            <w:tcW w:type="dxa" w:w="47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현금성자산 − 이자부부채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4.2 자본은 얼마를 벌었는가 (원칙 1)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1000"/>
        <w:gridCol w:w="1500"/>
        <w:gridCol w:w="1500"/>
        <w:gridCol w:w="1400"/>
        <w:gridCol w:w="1200"/>
        <w:gridCol w:w="1400"/>
        <w:gridCol w:w="136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연도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매출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영업이익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영업이익률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ROIC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설비투자</w:t>
            </w:r>
          </w:p>
        </w:tc>
        <w:tc>
          <w:tcPr>
            <w:tcW w:type="dxa" w:w="13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설비투자÷감가상각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FY2015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₩200.7조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₩26.4조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13.2%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15.5%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</w:t>
            </w:r>
          </w:p>
        </w:tc>
        <w:tc>
          <w:tcPr>
            <w:tcW w:type="dxa" w:w="1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0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FY2016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₩201.9조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₩29.2조</w:t>
            </w:r>
          </w:p>
        </w:tc>
        <w:tc>
          <w:tcPr>
            <w:tcW w:type="dxa" w:w="1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14.5%</w:t>
            </w:r>
          </w:p>
        </w:tc>
        <w:tc>
          <w:tcPr>
            <w:tcW w:type="dxa" w:w="1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17.5%</w:t>
            </w:r>
          </w:p>
        </w:tc>
        <w:tc>
          <w:tcPr>
            <w:tcW w:type="dxa" w:w="1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</w:t>
            </w:r>
          </w:p>
        </w:tc>
        <w:tc>
          <w:tcPr>
            <w:tcW w:type="dxa" w:w="13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FY2017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₩239.6조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₩53.6조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22.4%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29.2%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₩42.8조</w:t>
            </w:r>
          </w:p>
        </w:tc>
        <w:tc>
          <w:tcPr>
            <w:tcW w:type="dxa" w:w="1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1.93배</w:t>
            </w:r>
          </w:p>
        </w:tc>
      </w:tr>
      <w:tr>
        <w:tc>
          <w:tcPr>
            <w:tcW w:type="dxa" w:w="10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FY2018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₩243.8조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₩58.9조</w:t>
            </w:r>
          </w:p>
        </w:tc>
        <w:tc>
          <w:tcPr>
            <w:tcW w:type="dxa" w:w="1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24.2%</w:t>
            </w:r>
          </w:p>
        </w:tc>
        <w:tc>
          <w:tcPr>
            <w:tcW w:type="dxa" w:w="1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26.8%</w:t>
            </w:r>
          </w:p>
        </w:tc>
        <w:tc>
          <w:tcPr>
            <w:tcW w:type="dxa" w:w="1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₩29.6조</w:t>
            </w:r>
          </w:p>
        </w:tc>
        <w:tc>
          <w:tcPr>
            <w:tcW w:type="dxa" w:w="13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1.12배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FY2019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₩230.4조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₩27.8조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12.1%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11.5%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₩25.4조</w:t>
            </w:r>
          </w:p>
        </w:tc>
        <w:tc>
          <w:tcPr>
            <w:tcW w:type="dxa" w:w="1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0.86배</w:t>
            </w:r>
          </w:p>
        </w:tc>
      </w:tr>
      <w:tr>
        <w:tc>
          <w:tcPr>
            <w:tcW w:type="dxa" w:w="10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FY2020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₩236.8조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₩36.0조</w:t>
            </w:r>
          </w:p>
        </w:tc>
        <w:tc>
          <w:tcPr>
            <w:tcW w:type="dxa" w:w="1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15.2%</w:t>
            </w:r>
          </w:p>
        </w:tc>
        <w:tc>
          <w:tcPr>
            <w:tcW w:type="dxa" w:w="1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14.8%</w:t>
            </w:r>
          </w:p>
        </w:tc>
        <w:tc>
          <w:tcPr>
            <w:tcW w:type="dxa" w:w="1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₩37.6조</w:t>
            </w:r>
          </w:p>
        </w:tc>
        <w:tc>
          <w:tcPr>
            <w:tcW w:type="dxa" w:w="13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1.24배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FY2021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₩279.6조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₩51.6조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18.5%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20.5%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₩47.1조</w:t>
            </w:r>
          </w:p>
        </w:tc>
        <w:tc>
          <w:tcPr>
            <w:tcW w:type="dxa" w:w="1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1.38배</w:t>
            </w:r>
          </w:p>
        </w:tc>
      </w:tr>
      <w:tr>
        <w:tc>
          <w:tcPr>
            <w:tcW w:type="dxa" w:w="10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FY2022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₩302.2조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₩43.4조</w:t>
            </w:r>
          </w:p>
        </w:tc>
        <w:tc>
          <w:tcPr>
            <w:tcW w:type="dxa" w:w="1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14.4%</w:t>
            </w:r>
          </w:p>
        </w:tc>
        <w:tc>
          <w:tcPr>
            <w:tcW w:type="dxa" w:w="1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18.2%</w:t>
            </w:r>
          </w:p>
        </w:tc>
        <w:tc>
          <w:tcPr>
            <w:tcW w:type="dxa" w:w="1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₩49.4조</w:t>
            </w:r>
          </w:p>
        </w:tc>
        <w:tc>
          <w:tcPr>
            <w:tcW w:type="dxa" w:w="13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1.26배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FY2023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₩258.9조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₩6.6조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2.5%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2.3%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₩57.6조</w:t>
            </w:r>
          </w:p>
        </w:tc>
        <w:tc>
          <w:tcPr>
            <w:tcW w:type="dxa" w:w="1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1.49배</w:t>
            </w:r>
          </w:p>
        </w:tc>
      </w:tr>
      <w:tr>
        <w:tc>
          <w:tcPr>
            <w:tcW w:type="dxa" w:w="10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FY2024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₩300.9조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₩32.7조</w:t>
            </w:r>
          </w:p>
        </w:tc>
        <w:tc>
          <w:tcPr>
            <w:tcW w:type="dxa" w:w="1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10.9%</w:t>
            </w:r>
          </w:p>
        </w:tc>
        <w:tc>
          <w:tcPr>
            <w:tcW w:type="dxa" w:w="1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10.1%</w:t>
            </w:r>
          </w:p>
        </w:tc>
        <w:tc>
          <w:tcPr>
            <w:tcW w:type="dxa" w:w="1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₩51.4조</w:t>
            </w:r>
          </w:p>
        </w:tc>
        <w:tc>
          <w:tcPr>
            <w:tcW w:type="dxa" w:w="13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1.21배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FY2025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₩333.6조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₩43.6조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13.1%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12.4%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₩47.5조</w:t>
            </w:r>
          </w:p>
        </w:tc>
        <w:tc>
          <w:tcPr>
            <w:tcW w:type="dxa" w:w="1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1.01배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ROIC 중앙값 15.5%, 최근 12.4%.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관측된 11개 연도 중 10개 연도에서 10%를 넘겼습니다.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신규 ROIC(FY2015→FY2025)는 9.7%입니다.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그 기간 투하자본이 ₩210.9조 늘고 NOPAT이 ₩20.4조 늘었습니다.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숫자가 삼성전자에 대한 가장 중요한 발견입니다.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11년 동안 투하자본을 ₩211조 늘렸는데 NOPAT은 ₩20조 늘었습니다. 신규 자본의 수익률이 9.7%로, 자본비용을 겨우 넘거나 밑돕니다. 버핏의 1992년 기준을 그대로 적용하면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지난 10년의 삼성전자 성장은 주주 가치를 거의 만들지 못했습니다.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3년 롤링으로 보면 8개 구간 중 5개가 마이너스입니다. 이는 사업이 나빠서라기보다 메모리 사이클의 저점이 창(window)에 걸린 결과이기도 하지만, 어느 쪽이든 '투입한 자본이 이익으로 돌아오는 관계'가 안정적이지 않다는 뜻입니다.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4.3 네 가지 출발점의 DCF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168"/>
        <w:gridCol w:w="1175"/>
        <w:gridCol w:w="1175"/>
        <w:gridCol w:w="1084"/>
        <w:gridCol w:w="1084"/>
        <w:gridCol w:w="1175"/>
        <w:gridCol w:w="1500"/>
      </w:tblGrid>
      <w:tr>
        <w:trPr>
          <w:tblHeader/>
        </w:trPr>
        <w:tc>
          <w:tcPr>
            <w:tcW w:type="dxa" w:w="216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출발점</w:t>
            </w:r>
          </w:p>
        </w:tc>
        <w:tc>
          <w:tcPr>
            <w:tcW w:type="dxa" w:w="11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영업이익</w:t>
            </w:r>
          </w:p>
        </w:tc>
        <w:tc>
          <w:tcPr>
            <w:tcW w:type="dxa" w:w="11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NOPAT</w:t>
            </w:r>
          </w:p>
        </w:tc>
        <w:tc>
          <w:tcPr>
            <w:tcW w:type="dxa" w:w="10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보수</w:t>
            </w:r>
          </w:p>
        </w:tc>
        <w:tc>
          <w:tcPr>
            <w:tcW w:type="dxa" w:w="10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중립</w:t>
            </w:r>
          </w:p>
        </w:tc>
        <w:tc>
          <w:tcPr>
            <w:tcW w:type="dxa" w:w="11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낙관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중립 vs 현재가</w:t>
            </w:r>
          </w:p>
        </w:tc>
      </w:tr>
      <w:tr>
        <w:tc>
          <w:tcPr>
            <w:tcW w:type="dxa" w:w="21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사이클 정규화 — 중앙값</w:t>
            </w:r>
          </w:p>
        </w:tc>
        <w:tc>
          <w:tcPr>
            <w:tcW w:type="dxa" w:w="11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₩47.9조</w:t>
            </w:r>
          </w:p>
        </w:tc>
        <w:tc>
          <w:tcPr>
            <w:tcW w:type="dxa" w:w="11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₩43.7조</w:t>
            </w:r>
          </w:p>
        </w:tc>
        <w:tc>
          <w:tcPr>
            <w:tcW w:type="dxa" w:w="10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₩66,843</w:t>
            </w:r>
          </w:p>
        </w:tc>
        <w:tc>
          <w:tcPr>
            <w:tcW w:type="dxa" w:w="10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₩89,596</w:t>
            </w:r>
          </w:p>
        </w:tc>
        <w:tc>
          <w:tcPr>
            <w:tcW w:type="dxa" w:w="11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₩151,449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-66%</w:t>
            </w:r>
          </w:p>
        </w:tc>
      </w:tr>
      <w:tr>
        <w:tc>
          <w:tcPr>
            <w:tcW w:type="dxa" w:w="216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사이클 정규화 — 평균</w:t>
            </w:r>
          </w:p>
        </w:tc>
        <w:tc>
          <w:tcPr>
            <w:tcW w:type="dxa" w:w="11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₩48.8조</w:t>
            </w:r>
          </w:p>
        </w:tc>
        <w:tc>
          <w:tcPr>
            <w:tcW w:type="dxa" w:w="11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₩44.5조</w:t>
            </w:r>
          </w:p>
        </w:tc>
        <w:tc>
          <w:tcPr>
            <w:tcW w:type="dxa" w:w="10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₩67,785</w:t>
            </w:r>
          </w:p>
        </w:tc>
        <w:tc>
          <w:tcPr>
            <w:tcW w:type="dxa" w:w="10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₩90,952</w:t>
            </w:r>
          </w:p>
        </w:tc>
        <w:tc>
          <w:tcPr>
            <w:tcW w:type="dxa" w:w="11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₩153,933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-65%</w:t>
            </w:r>
          </w:p>
        </w:tc>
      </w:tr>
      <w:tr>
        <w:tc>
          <w:tcPr>
            <w:tcW w:type="dxa" w:w="21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최근년도 (FY2025) 기준</w:t>
            </w:r>
          </w:p>
        </w:tc>
        <w:tc>
          <w:tcPr>
            <w:tcW w:type="dxa" w:w="11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₩43.6조</w:t>
            </w:r>
          </w:p>
        </w:tc>
        <w:tc>
          <w:tcPr>
            <w:tcW w:type="dxa" w:w="11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₩39.8조</w:t>
            </w:r>
          </w:p>
        </w:tc>
        <w:tc>
          <w:tcPr>
            <w:tcW w:type="dxa" w:w="10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₩62,226</w:t>
            </w:r>
          </w:p>
        </w:tc>
        <w:tc>
          <w:tcPr>
            <w:tcW w:type="dxa" w:w="10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₩82,945</w:t>
            </w:r>
          </w:p>
        </w:tc>
        <w:tc>
          <w:tcPr>
            <w:tcW w:type="dxa" w:w="11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₩139,271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-68%</w:t>
            </w:r>
          </w:p>
        </w:tc>
      </w:tr>
      <w:tr>
        <w:tc>
          <w:tcPr>
            <w:tcW w:type="dxa" w:w="216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실적 연환산 (2026 상반기 (검토받은 요약중간연결재무제표))</w:t>
            </w:r>
          </w:p>
        </w:tc>
        <w:tc>
          <w:tcPr>
            <w:tcW w:type="dxa" w:w="11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₩293.5조</w:t>
            </w:r>
          </w:p>
        </w:tc>
        <w:tc>
          <w:tcPr>
            <w:tcW w:type="dxa" w:w="11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₩268.1조</w:t>
            </w:r>
          </w:p>
        </w:tc>
        <w:tc>
          <w:tcPr>
            <w:tcW w:type="dxa" w:w="10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₩331,871</w:t>
            </w:r>
          </w:p>
        </w:tc>
        <w:tc>
          <w:tcPr>
            <w:tcW w:type="dxa" w:w="10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₩471,317</w:t>
            </w:r>
          </w:p>
        </w:tc>
        <w:tc>
          <w:tcPr>
            <w:tcW w:type="dxa" w:w="11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₩850,414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81%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현재 주가는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₩261,000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4.4 거꾸로 — 현재가는 무엇을 전제하는가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어느 해가 정상인지를 두고 다투는 대신,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시장이 이미 고른 정상을 역산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하면 논쟁이 사실 확인으로 바뀝니다. 중립 시나리오를 뒤집어 현재 시가총액을 정당화하는 영구 영업이익을 구했습니다.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역산 결과</w:t>
            </w:r>
          </w:p>
        </w:tc>
        <w:tc>
          <w:tcPr>
            <w:tcW w:type="dxa" w:w="39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값</w:t>
            </w:r>
          </w:p>
        </w:tc>
      </w:tr>
      <w:tr>
        <w:tc>
          <w:tcPr>
            <w:tcW w:type="dxa" w:w="5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현재가가 전제하는 정상 영업이익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₩152.6조</w:t>
            </w:r>
          </w:p>
        </w:tc>
      </w:tr>
      <w:tr>
        <w:tc>
          <w:tcPr>
            <w:tcW w:type="dxa" w:w="5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FY2025 영업이익의</w:t>
            </w:r>
          </w:p>
        </w:tc>
        <w:tc>
          <w:tcPr>
            <w:tcW w:type="dxa" w:w="39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3.5배</w:t>
            </w:r>
          </w:p>
        </w:tc>
      </w:tr>
      <w:tr>
        <w:tc>
          <w:tcPr>
            <w:tcW w:type="dxa" w:w="5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2026 상반기 연환산 영업이익의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52%</w:t>
            </w:r>
          </w:p>
        </w:tc>
      </w:tr>
      <w:tr>
        <w:tc>
          <w:tcPr>
            <w:tcW w:type="dxa" w:w="5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최근 매출 대비 영업이익률</w:t>
            </w:r>
          </w:p>
        </w:tc>
        <w:tc>
          <w:tcPr>
            <w:tcW w:type="dxa" w:w="39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45.8%</w:t>
            </w:r>
          </w:p>
        </w:tc>
      </w:tr>
      <w:tr>
        <w:tc>
          <w:tcPr>
            <w:tcW w:type="dxa" w:w="5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참고: 관측된 영업이익률 최고치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24.2% (FY2018)</w:t>
            </w:r>
          </w:p>
        </w:tc>
      </w:tr>
    </w:tbl>
    <w:p>
      <w:pPr>
        <w:spacing w:after="200"/>
      </w:pP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현재 실적이 얼마나 유지되어야 하는가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현재 실적의 몇 %가 유지되면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그때 영업이익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그때 영업이익률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중립 적정가치</w:t>
            </w:r>
          </w:p>
        </w:tc>
        <w:tc>
          <w:tcPr>
            <w:tcW w:type="dxa" w:w="1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현재가 대비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25%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₩73.4조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12.0%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₩129,207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0.50배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35%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₩102.7조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16.8%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₩174,822</w:t>
            </w:r>
          </w:p>
        </w:tc>
        <w:tc>
          <w:tcPr>
            <w:tcW w:type="dxa" w:w="15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0.67배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50%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₩146.7조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24.0%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₩243,244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0.93배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65%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₩190.7조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31.2%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₩311,666</w:t>
            </w:r>
          </w:p>
        </w:tc>
        <w:tc>
          <w:tcPr>
            <w:tcW w:type="dxa" w:w="15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1.19배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75%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₩220.1조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36.0%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₩357,281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1.37배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100%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₩293.5조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48.0%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₩471,317</w:t>
            </w:r>
          </w:p>
        </w:tc>
        <w:tc>
          <w:tcPr>
            <w:tcW w:type="dxa" w:w="15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1.81배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현재가와 같아지는 지점이 52%입니다.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그보다 많이 유지되면 지금 사는 것이 이익이고, 그보다 적게 유지되면 손해입니다. 이 한 줄이 이 종목에 대한 투자 판단의 전부입니다.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함축수익률로 보면 — 사이클 정규화 기준으로 현재가에 사면 연 4.71%, 현재 실적이 유지된다고 보면 연 16.39%입니다. 한국 10년물 국고채가 4.2%입니다.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SK하이닉스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5.1 지금 어디에 서 있는가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값</w:t>
            </w:r>
          </w:p>
        </w:tc>
        <w:tc>
          <w:tcPr>
            <w:tcW w:type="dxa" w:w="47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주가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₩1,693,000</w:t>
            </w:r>
          </w:p>
        </w:tc>
        <w:tc>
          <w:tcPr>
            <w:tcW w:type="dxa" w:w="4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네이버 금융 일별시세 (000660), 2026-09-01 종가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유통주식수</w:t>
            </w:r>
          </w:p>
        </w:tc>
        <w:tc>
          <w:tcPr>
            <w:tcW w:type="dxa" w:w="2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701,691,520주</w:t>
            </w:r>
          </w:p>
        </w:tc>
        <w:tc>
          <w:tcPr>
            <w:tcW w:type="dxa" w:w="47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발행주식 728,002,365주에서 자기주식 26,310,845주를 차감. 자기주식에는 교환사채 발행으로 한국예탁결제원에 예탁된 8,932,547주가 포함됩니다 (F-1 주석).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시가총액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₩1,188조</w:t>
            </w:r>
          </w:p>
        </w:tc>
        <w:tc>
          <w:tcPr>
            <w:tcW w:type="dxa" w:w="4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$861B (환율 1,379.41원/$, 2026-08-28)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FY2025 매출</w:t>
            </w:r>
          </w:p>
        </w:tc>
        <w:tc>
          <w:tcPr>
            <w:tcW w:type="dxa" w:w="2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₩97.1조</w:t>
            </w:r>
          </w:p>
        </w:tc>
        <w:tc>
          <w:tcPr>
            <w:tcW w:type="dxa" w:w="47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FY2025 영업이익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₩47.2조</w:t>
            </w:r>
          </w:p>
        </w:tc>
        <w:tc>
          <w:tcPr>
            <w:tcW w:type="dxa" w:w="4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영업이익률 48.6%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 상반기 매출</w:t>
            </w:r>
          </w:p>
        </w:tc>
        <w:tc>
          <w:tcPr>
            <w:tcW w:type="dxa" w:w="2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₩131.9조</w:t>
            </w:r>
          </w:p>
        </w:tc>
        <w:tc>
          <w:tcPr>
            <w:tcW w:type="dxa" w:w="47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 상반기 (Form 6-K, K-IFRS 연결)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 상반기 영업이익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₩98.2조</w:t>
            </w:r>
          </w:p>
        </w:tc>
        <w:tc>
          <w:tcPr>
            <w:tcW w:type="dxa" w:w="4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영업이익률 74.4%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순현금</w:t>
            </w:r>
          </w:p>
        </w:tc>
        <w:tc>
          <w:tcPr>
            <w:tcW w:type="dxa" w:w="2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₩12.7조</w:t>
            </w:r>
          </w:p>
        </w:tc>
        <w:tc>
          <w:tcPr>
            <w:tcW w:type="dxa" w:w="47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현금성자산 − 이자부부채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5.2 자본은 얼마를 벌었는가 (원칙 1)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1000"/>
        <w:gridCol w:w="1500"/>
        <w:gridCol w:w="1500"/>
        <w:gridCol w:w="1400"/>
        <w:gridCol w:w="1200"/>
        <w:gridCol w:w="1400"/>
        <w:gridCol w:w="136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연도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매출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영업이익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영업이익률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ROIC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설비투자</w:t>
            </w:r>
          </w:p>
        </w:tc>
        <w:tc>
          <w:tcPr>
            <w:tcW w:type="dxa" w:w="13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설비투자÷감가상각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FY2023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₩32.8조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−₩7.7조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-23.6%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₩8.3조</w:t>
            </w:r>
          </w:p>
        </w:tc>
        <w:tc>
          <w:tcPr>
            <w:tcW w:type="dxa" w:w="1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0.63배</w:t>
            </w:r>
          </w:p>
        </w:tc>
      </w:tr>
      <w:tr>
        <w:tc>
          <w:tcPr>
            <w:tcW w:type="dxa" w:w="10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FY2024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₩66.2조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₩23.5조</w:t>
            </w:r>
          </w:p>
        </w:tc>
        <w:tc>
          <w:tcPr>
            <w:tcW w:type="dxa" w:w="1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35.5%</w:t>
            </w:r>
          </w:p>
        </w:tc>
        <w:tc>
          <w:tcPr>
            <w:tcW w:type="dxa" w:w="1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23.6%</w:t>
            </w:r>
          </w:p>
        </w:tc>
        <w:tc>
          <w:tcPr>
            <w:tcW w:type="dxa" w:w="1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₩15.9조</w:t>
            </w:r>
          </w:p>
        </w:tc>
        <w:tc>
          <w:tcPr>
            <w:tcW w:type="dxa" w:w="13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1.27배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FY2025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₩97.1조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₩47.2조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48.6%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42.2%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₩27.5조</w:t>
            </w:r>
          </w:p>
        </w:tc>
        <w:tc>
          <w:tcPr>
            <w:tcW w:type="dxa" w:w="1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1.98배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ROIC 중앙값 32.9%, 최근 42.2%.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관측된 2개 연도 중 2개 연도에서 10%를 넘겼습니다.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신규 ROIC(FY2024→FY2025)는 81.2%입니다.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그 기간 투하자본이 ₩25.5조 늘고 NOPAT이 ₩20.7조 늘었습니다.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수치는 3개 연도, 사실상 2개 구간에서 나온 것이라 해석에 주의가 필요합니다.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FY2024→FY2025의 신규 ROIC 81.2%는 사이클 회복 구간을 그대로 측정한 값이지, 지속 가능한 재투자 수익률이 아닙니다. 알파벳에서 FY2021(코로나 후 광고 급증)의 119.7%를 걸러냈던 것과 같은 종류의 왜곡입니다.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완전한 사이클을 담은 시계열이 없다는 것이 SK하이닉스 분석의 가장 큰 한계입니다.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F-1은 감사받은 3개 연도만 싣고 있고, 그중 하나가 대규모 적자연도, 둘이 호황연도입니다. 초판에서 '최소 한 번의 완전한 사이클(호황·불황 각각 최소 2년)이 필요하다'고 적었던 조건은 여전히 충족되지 않았습니다.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5.3 네 가지 출발점의 DCF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168"/>
        <w:gridCol w:w="1175"/>
        <w:gridCol w:w="1175"/>
        <w:gridCol w:w="1084"/>
        <w:gridCol w:w="1084"/>
        <w:gridCol w:w="1175"/>
        <w:gridCol w:w="1500"/>
      </w:tblGrid>
      <w:tr>
        <w:trPr>
          <w:tblHeader/>
        </w:trPr>
        <w:tc>
          <w:tcPr>
            <w:tcW w:type="dxa" w:w="216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출발점</w:t>
            </w:r>
          </w:p>
        </w:tc>
        <w:tc>
          <w:tcPr>
            <w:tcW w:type="dxa" w:w="11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영업이익</w:t>
            </w:r>
          </w:p>
        </w:tc>
        <w:tc>
          <w:tcPr>
            <w:tcW w:type="dxa" w:w="11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NOPAT</w:t>
            </w:r>
          </w:p>
        </w:tc>
        <w:tc>
          <w:tcPr>
            <w:tcW w:type="dxa" w:w="10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보수</w:t>
            </w:r>
          </w:p>
        </w:tc>
        <w:tc>
          <w:tcPr>
            <w:tcW w:type="dxa" w:w="10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중립</w:t>
            </w:r>
          </w:p>
        </w:tc>
        <w:tc>
          <w:tcPr>
            <w:tcW w:type="dxa" w:w="11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낙관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중립 vs 현재가</w:t>
            </w:r>
          </w:p>
        </w:tc>
      </w:tr>
      <w:tr>
        <w:tc>
          <w:tcPr>
            <w:tcW w:type="dxa" w:w="21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사이클 정규화 — 중앙값</w:t>
            </w:r>
          </w:p>
        </w:tc>
        <w:tc>
          <w:tcPr>
            <w:tcW w:type="dxa" w:w="11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₩34.4조</w:t>
            </w:r>
          </w:p>
        </w:tc>
        <w:tc>
          <w:tcPr>
            <w:tcW w:type="dxa" w:w="11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₩29.3조</w:t>
            </w:r>
          </w:p>
        </w:tc>
        <w:tc>
          <w:tcPr>
            <w:tcW w:type="dxa" w:w="10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₩345,249</w:t>
            </w:r>
          </w:p>
        </w:tc>
        <w:tc>
          <w:tcPr>
            <w:tcW w:type="dxa" w:w="10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₩489,301</w:t>
            </w:r>
          </w:p>
        </w:tc>
        <w:tc>
          <w:tcPr>
            <w:tcW w:type="dxa" w:w="11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₩880,916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-71%</w:t>
            </w:r>
          </w:p>
        </w:tc>
      </w:tr>
      <w:tr>
        <w:tc>
          <w:tcPr>
            <w:tcW w:type="dxa" w:w="216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사이클 정규화 — 평균</w:t>
            </w:r>
          </w:p>
        </w:tc>
        <w:tc>
          <w:tcPr>
            <w:tcW w:type="dxa" w:w="11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₩19.6조</w:t>
            </w:r>
          </w:p>
        </w:tc>
        <w:tc>
          <w:tcPr>
            <w:tcW w:type="dxa" w:w="11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₩16.7조</w:t>
            </w:r>
          </w:p>
        </w:tc>
        <w:tc>
          <w:tcPr>
            <w:tcW w:type="dxa" w:w="10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₩204,044</w:t>
            </w:r>
          </w:p>
        </w:tc>
        <w:tc>
          <w:tcPr>
            <w:tcW w:type="dxa" w:w="10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₩285,921</w:t>
            </w:r>
          </w:p>
        </w:tc>
        <w:tc>
          <w:tcPr>
            <w:tcW w:type="dxa" w:w="11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₩508,511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-83%</w:t>
            </w:r>
          </w:p>
        </w:tc>
      </w:tr>
      <w:tr>
        <w:tc>
          <w:tcPr>
            <w:tcW w:type="dxa" w:w="21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최근년도 (FY2025) 기준</w:t>
            </w:r>
          </w:p>
        </w:tc>
        <w:tc>
          <w:tcPr>
            <w:tcW w:type="dxa" w:w="11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₩47.2조</w:t>
            </w:r>
          </w:p>
        </w:tc>
        <w:tc>
          <w:tcPr>
            <w:tcW w:type="dxa" w:w="11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₩40.2조</w:t>
            </w:r>
          </w:p>
        </w:tc>
        <w:tc>
          <w:tcPr>
            <w:tcW w:type="dxa" w:w="10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₩466,504</w:t>
            </w:r>
          </w:p>
        </w:tc>
        <w:tc>
          <w:tcPr>
            <w:tcW w:type="dxa" w:w="10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₩663,946</w:t>
            </w:r>
          </w:p>
        </w:tc>
        <w:tc>
          <w:tcPr>
            <w:tcW w:type="dxa" w:w="117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₩1,200,706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-61%</w:t>
            </w:r>
          </w:p>
        </w:tc>
      </w:tr>
      <w:tr>
        <w:tc>
          <w:tcPr>
            <w:tcW w:type="dxa" w:w="2168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실적 연환산 (2026 상반기 (Form 6-K, K-IFRS 연결))</w:t>
            </w:r>
          </w:p>
        </w:tc>
        <w:tc>
          <w:tcPr>
            <w:tcW w:type="dxa" w:w="11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₩196.3조</w:t>
            </w:r>
          </w:p>
        </w:tc>
        <w:tc>
          <w:tcPr>
            <w:tcW w:type="dxa" w:w="11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₩167.1조</w:t>
            </w:r>
          </w:p>
        </w:tc>
        <w:tc>
          <w:tcPr>
            <w:tcW w:type="dxa" w:w="10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₩1,882,802</w:t>
            </w:r>
          </w:p>
        </w:tc>
        <w:tc>
          <w:tcPr>
            <w:tcW w:type="dxa" w:w="108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₩2,703,857</w:t>
            </w:r>
          </w:p>
        </w:tc>
        <w:tc>
          <w:tcPr>
            <w:tcW w:type="dxa" w:w="1175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₩4,935,951</w:t>
            </w:r>
          </w:p>
        </w:tc>
        <w:tc>
          <w:tcPr>
            <w:tcW w:type="dxa" w:w="1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60%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현재 주가는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₩1,693,000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5.4 거꾸로 — 현재가는 무엇을 전제하는가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어느 해가 정상인지를 두고 다투는 대신,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시장이 이미 고른 정상을 역산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하면 논쟁이 사실 확인으로 바뀝니다. 중립 시나리오를 뒤집어 현재 시가총액을 정당화하는 영구 영업이익을 구했습니다.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역산 결과</w:t>
            </w:r>
          </w:p>
        </w:tc>
        <w:tc>
          <w:tcPr>
            <w:tcW w:type="dxa" w:w="39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값</w:t>
            </w:r>
          </w:p>
        </w:tc>
      </w:tr>
      <w:tr>
        <w:tc>
          <w:tcPr>
            <w:tcW w:type="dxa" w:w="5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현재가가 전제하는 정상 영업이익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₩122.4조</w:t>
            </w:r>
          </w:p>
        </w:tc>
      </w:tr>
      <w:tr>
        <w:tc>
          <w:tcPr>
            <w:tcW w:type="dxa" w:w="5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FY2025 영업이익의</w:t>
            </w:r>
          </w:p>
        </w:tc>
        <w:tc>
          <w:tcPr>
            <w:tcW w:type="dxa" w:w="39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2.6배</w:t>
            </w:r>
          </w:p>
        </w:tc>
      </w:tr>
      <w:tr>
        <w:tc>
          <w:tcPr>
            <w:tcW w:type="dxa" w:w="5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2026 상반기 연환산 영업이익의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62%</w:t>
            </w:r>
          </w:p>
        </w:tc>
      </w:tr>
      <w:tr>
        <w:tc>
          <w:tcPr>
            <w:tcW w:type="dxa" w:w="5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최근 매출 대비 영업이익률</w:t>
            </w:r>
          </w:p>
        </w:tc>
        <w:tc>
          <w:tcPr>
            <w:tcW w:type="dxa" w:w="39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126.0%</w:t>
            </w:r>
          </w:p>
        </w:tc>
      </w:tr>
      <w:tr>
        <w:tc>
          <w:tcPr>
            <w:tcW w:type="dxa" w:w="5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참고: 관측된 영업이익률 최고치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48.6% (FY2025)</w:t>
            </w:r>
          </w:p>
        </w:tc>
      </w:tr>
    </w:tbl>
    <w:p>
      <w:pPr>
        <w:spacing w:after="200"/>
      </w:pP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현재 실적이 얼마나 유지되어야 하는가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현재 실적의 몇 %가 유지되면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그때 영업이익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그때 영업이익률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중립 적정가치</w:t>
            </w:r>
          </w:p>
        </w:tc>
        <w:tc>
          <w:tcPr>
            <w:tcW w:type="dxa" w:w="1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현재가 대비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25%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₩49.1조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18.6%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₩689,532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0.41배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35%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₩68.7조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26.0%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₩958,109</w:t>
            </w:r>
          </w:p>
        </w:tc>
        <w:tc>
          <w:tcPr>
            <w:tcW w:type="dxa" w:w="15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0.57배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50%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₩98.2조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37.2%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₩1,360,974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0.80배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65%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₩127.6조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48.4%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₩1,763,839</w:t>
            </w:r>
          </w:p>
        </w:tc>
        <w:tc>
          <w:tcPr>
            <w:tcW w:type="dxa" w:w="15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1.04배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75%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₩147.2조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55.8%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₩2,032,415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1.20배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100%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₩196.3조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74.4%</w:t>
            </w:r>
          </w:p>
        </w:tc>
        <w:tc>
          <w:tcPr>
            <w:tcW w:type="dxa" w:w="18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₩2,703,857</w:t>
            </w:r>
          </w:p>
        </w:tc>
        <w:tc>
          <w:tcPr>
            <w:tcW w:type="dxa" w:w="15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1.60배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현재가와 같아지는 지점이 62%입니다.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그보다 많이 유지되면 지금 사는 것이 이익이고, 그보다 적게 유지되면 손해입니다. 이 한 줄이 이 종목에 대한 투자 판단의 전부입니다.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함축수익률로 보면 — 사이클 정규화 기준으로 현재가에 사면 연 4.44%, 현재 실적이 유지된다고 보면 연 14.24%입니다. 한국 10년물 국고채가 4.2%입니다.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비교 — 두 회사, 그리고 미국 50개사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6.1 두 회사 나란히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삼성전자</w:t>
            </w:r>
          </w:p>
        </w:tc>
        <w:tc>
          <w:tcPr>
            <w:tcW w:type="dxa" w:w="33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SK하이닉스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시가총액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₩1,674조</w:t>
            </w:r>
          </w:p>
        </w:tc>
        <w:tc>
          <w:tcPr>
            <w:tcW w:type="dxa" w:w="3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₩1,188조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ROIC 중앙값</w:t>
            </w:r>
          </w:p>
        </w:tc>
        <w:tc>
          <w:tcPr>
            <w:tcW w:type="dxa" w:w="3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15.5%</w:t>
            </w:r>
          </w:p>
        </w:tc>
        <w:tc>
          <w:tcPr>
            <w:tcW w:type="dxa" w:w="33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32.9%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신규 ROIC (전체 구간)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9.7% (FY2015→FY2025)</w:t>
            </w:r>
          </w:p>
        </w:tc>
        <w:tc>
          <w:tcPr>
            <w:tcW w:type="dxa" w:w="3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81.2% (FY2024→FY2025)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영업이익률 변동폭</w:t>
            </w:r>
          </w:p>
        </w:tc>
        <w:tc>
          <w:tcPr>
            <w:tcW w:type="dxa" w:w="3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2.5% ~ 24.2%</w:t>
            </w:r>
          </w:p>
        </w:tc>
        <w:tc>
          <w:tcPr>
            <w:tcW w:type="dxa" w:w="33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-23.6% ~ 48.6%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 상반기 영업이익률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48.0%</w:t>
            </w:r>
          </w:p>
        </w:tc>
        <w:tc>
          <w:tcPr>
            <w:tcW w:type="dxa" w:w="3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74.4%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순현금</w:t>
            </w:r>
          </w:p>
        </w:tc>
        <w:tc>
          <w:tcPr>
            <w:tcW w:type="dxa" w:w="3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₩100.6조</w:t>
            </w:r>
          </w:p>
        </w:tc>
        <w:tc>
          <w:tcPr>
            <w:tcW w:type="dxa" w:w="33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₩12.7조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순현금 ÷ 시가총액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6.0%</w:t>
            </w:r>
          </w:p>
        </w:tc>
        <w:tc>
          <w:tcPr>
            <w:tcW w:type="dxa" w:w="3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1.1%</w:t>
            </w:r>
          </w:p>
        </w:tc>
      </w:tr>
      <w:tr>
        <w:tc>
          <w:tcPr>
            <w:tcW w:type="dxa" w:w="26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현재가가 전제하는 유지율</w:t>
            </w:r>
          </w:p>
        </w:tc>
        <w:tc>
          <w:tcPr>
            <w:tcW w:type="dxa" w:w="3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52%</w:t>
            </w:r>
          </w:p>
        </w:tc>
        <w:tc>
          <w:tcPr>
            <w:tcW w:type="dxa" w:w="33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62%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감사받은 연간 시계열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11개 연도</w:t>
            </w:r>
          </w:p>
        </w:tc>
        <w:tc>
          <w:tcPr>
            <w:tcW w:type="dxa" w:w="3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3개 연도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두 회사의 성격 차이가 뚜렷합니다.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삼성전자는 사업이 넓게 퍼져 있어 사이클의 진폭이 작고(최저 2.5%), 순현금이 시가총액의 6.0%에 달해 재무적으로 훨씬 두껍습니다. SK하이닉스는 사실상 메모리 단일 사업이라 진폭이 크고(최저 -23.6%), 순현금은 시가총액의 1.1%에 그칩니다.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대신 SK하이닉스는 지금 훨씬 잘 벌고 있습니다.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2026년 상반기 영업이익률 74.4% 대 삼성전자 48.0%. 매출은 삼성전자의 절반이 안 되는데(₩132조 대 ₩305조) 영업이익은 3분의 2 수준입니다.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6.2 알파벳과 나란히 — 같은 모형, 같은 시나리오 구조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00"/>
        <w:gridCol w:w="2400"/>
        <w:gridCol w:w="2300"/>
        <w:gridCol w:w="22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알파벳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삼성전자</w:t>
            </w:r>
          </w:p>
        </w:tc>
        <w:tc>
          <w:tcPr>
            <w:tcW w:type="dxa" w:w="22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SK하이닉스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ROIC 중앙값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37.1%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15.5%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32.9%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신규 ROIC</w:t>
            </w:r>
          </w:p>
        </w:tc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24.7% (3년 롤링)</w:t>
            </w:r>
          </w:p>
        </w:tc>
        <w:tc>
          <w:tcPr>
            <w:tcW w:type="dxa" w:w="23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9.7% (11년)</w:t>
            </w:r>
          </w:p>
        </w:tc>
        <w:tc>
          <w:tcPr>
            <w:tcW w:type="dxa" w:w="22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81.2% (1년)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중립 DCF ÷ 현재가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0.40배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0.34배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0.29배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함축수익률 (정규화 기준)</w:t>
            </w:r>
          </w:p>
        </w:tc>
        <w:tc>
          <w:tcPr>
            <w:tcW w:type="dxa" w:w="24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5.78%</w:t>
            </w:r>
          </w:p>
        </w:tc>
        <w:tc>
          <w:tcPr>
            <w:tcW w:type="dxa" w:w="23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4.71%</w:t>
            </w:r>
          </w:p>
        </w:tc>
        <w:tc>
          <w:tcPr>
            <w:tcW w:type="dxa" w:w="22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4.44%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이익의 예측 가능성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높음 — 광고·클라우드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낮음 — 메모리 사이클</w:t>
            </w:r>
          </w:p>
        </w:tc>
        <w:tc>
          <w:tcPr>
            <w:tcW w:type="dxa" w:w="2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매우 낮음 — 메모리 단일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세 회사 모두 '정규화 이익 기준으로는 비싸다'는 같은 결론이 나옵니다.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다만 성격이 다릅니다. 알파벳은 이익이 안정적이므로 그 판정이 비교적 단단합니다. 두 반도체 회사는 정규화 이익 자체가 무엇인지 확정하기 어려워, 같은 결론이라도 훨씬 약한 근거 위에 서 있습니다.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버핏 기준 판정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2부에서 정리한 7개 기준을 그대로 적용합니다.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500"/>
        <w:gridCol w:w="2600"/>
        <w:gridCol w:w="3200"/>
        <w:gridCol w:w="306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기준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삼성전자</w:t>
            </w:r>
          </w:p>
        </w:tc>
        <w:tc>
          <w:tcPr>
            <w:tcW w:type="dxa" w:w="30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SK하이닉스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이해할 수 있는 사업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통과 — 다만 사업부가 넓게 섞여 있음</w:t>
            </w:r>
          </w:p>
        </w:tc>
        <w:tc>
          <w:tcPr>
            <w:tcW w:type="dxa" w:w="3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통과 — 사실상 메모리 단일</w:t>
            </w:r>
          </w:p>
        </w:tc>
      </w:tr>
      <w:tr>
        <w:tc>
          <w:tcPr>
            <w:tcW w:type="dxa" w:w="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 ROIC &gt; WACC</w:t>
            </w:r>
          </w:p>
        </w:tc>
        <w:tc>
          <w:tcPr>
            <w:tcW w:type="dxa" w:w="3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통과 — 중앙값 15.5%</w:t>
            </w:r>
          </w:p>
        </w:tc>
        <w:tc>
          <w:tcPr>
            <w:tcW w:type="dxa" w:w="30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통과 — 다만 3개 연도뿐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지속성 (해자)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불통과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— FY2023 ROIC 2.3%, 사이클 저점에서 자본비용 미달</w:t>
            </w:r>
          </w:p>
        </w:tc>
        <w:tc>
          <w:tcPr>
            <w:tcW w:type="dxa" w:w="3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불통과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— FY2023 영업손실</w:t>
            </w:r>
          </w:p>
        </w:tc>
      </w:tr>
      <w:tr>
        <w:tc>
          <w:tcPr>
            <w:tcW w:type="dxa" w:w="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신규 ROIC &gt; WACC</w:t>
            </w:r>
          </w:p>
        </w:tc>
        <w:tc>
          <w:tcPr>
            <w:tcW w:type="dxa" w:w="3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불통과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— 11년 신규 ROIC 9.7%</w:t>
            </w:r>
          </w:p>
        </w:tc>
        <w:tc>
          <w:tcPr>
            <w:tcW w:type="dxa" w:w="30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판정 불가 — 측정 구간이 1년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자본배분·주주 지향성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통과 — 순현금 ₩101조, 자사주 소각 진행</w:t>
            </w:r>
          </w:p>
        </w:tc>
        <w:tc>
          <w:tcPr>
            <w:tcW w:type="dxa" w:w="3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판정 유보 — 시계열 부족</w:t>
            </w:r>
          </w:p>
        </w:tc>
      </w:tr>
      <w:tr>
        <w:tc>
          <w:tcPr>
            <w:tcW w:type="dxa" w:w="5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이익의 질</w:t>
            </w:r>
          </w:p>
        </w:tc>
        <w:tc>
          <w:tcPr>
            <w:tcW w:type="dxa" w:w="320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통과 — 영업이익과 현금흐름이 정합</w:t>
            </w:r>
          </w:p>
        </w:tc>
        <w:tc>
          <w:tcPr>
            <w:tcW w:type="dxa" w:w="3060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주의 — FY2025 순이익에 금융손익 비중이 큼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가격의 합리성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불통과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(정규화 기준)</w:t>
            </w:r>
          </w:p>
        </w:tc>
        <w:tc>
          <w:tcPr>
            <w:tcW w:type="dxa" w:w="3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불통과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(정규화 기준)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기준 3과 4가 이 두 회사의 핵심 쟁점입니다.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버핏이 2007년 서한에서 해자를 정의하며 쓴 단어는 '지속적인(enduring)'이었고, 그 기준을 '사이클 저점에서도 자본비용을 넘는가'로 옮기면 두 회사 모두 최근 사이클에서 통과하지 못했습니다.</w:t>
      </w:r>
    </w:p>
    <w:p>
      <w:pPr>
        <w:pBdr>
          <w:left w:val="single" w:color="1F3864" w:sz="18" w:space="12"/>
        </w:pBdr>
        <w:spacing w:after="40" w:before="160" w:line="280"/>
        <w:ind w:left="360" w:right="200"/>
      </w:pPr>
      <w:r>
        <w:rPr>
          <w:rFonts w:ascii="Malgun Gothic" w:cs="Malgun Gothic" w:eastAsia="Malgun Gothic" w:hAnsi="Malgun Gothic"/>
          <w:i/>
          <w:iCs/>
          <w:color w:val="1A1A1A"/>
          <w:sz w:val="18"/>
          <w:szCs w:val="18"/>
        </w:rPr>
        <w:t xml:space="preserve">"우리가 '지속적'이라는 기준을 두는 탓에 빠르고 연속적인 변화를 겪는 산업의 기업들은 후보에서 제외된다. (…) 계속 다시 쌓아야 하는 해자는 결국 해자가 아닐 것이다."</w:t>
      </w:r>
    </w:p>
    <w:p>
      <w:pPr>
        <w:spacing w:after="200"/>
        <w:ind w:left="360"/>
        <w:jc w:val="right"/>
      </w:pPr>
      <w:r>
        <w:rPr>
          <w:rFonts w:ascii="Malgun Gothic" w:cs="Malgun Gothic" w:eastAsia="Malgun Gothic" w:hAnsi="Malgun Gothic"/>
          <w:color w:val="595959"/>
          <w:sz w:val="16"/>
          <w:szCs w:val="16"/>
        </w:rPr>
        <w:t xml:space="preserve">— 버크셔 해서웨이 2007년 주주서한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메모리 반도체는 2~3년마다 공정을 갈아엎고 그때마다 수십 조 원을 다시 넣어야 하는 사업입니다. 삼성전자가 11년간 투하자본을 ₩211조 늘리고도 NOPAT이 ₩20조밖에 늘지 않았다는 사실이 그 성격을 그대로 보여줍니다.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다만 반론도 분명히 적어둡니다.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AI 가속기용 고대역폭 메모리(HBM)는 범용 D램과 가격 결정 구조가 다르고, 지금의 이익률(SK하이닉스 반기 74.4%)은 과거 어느 호황에서도 없던 수준입니다. 이것이 '이번엔 다르다'인지 '더 큰 사이클'인지는 이 보고서가 가진 자료로는 판별되지 않습니다. 판별에 필요한 것은 다음 저점에서의 ROIC이고, 그것은 아직 관측되지 않았습니다.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한계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SK하이닉스의 감사받은 시계열이 3년뿐입니다.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F-1이 담은 것이 그것뿐이고, 그중 하나가 적자연도입니다. 사이클 정규화의 근거가 얇습니다. 2027년 첫 20-F가 제출되면 시계열이 늘어납니다.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삼성전자 수치는 SEC 접수번호로 추적되지 않습니다.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회사가 공개한 감사받은 재무제표 PDF의 URL로 추적됩니다. 감사받은 원문이라는 점에서 신뢰등급은 같지만, 제3자 제출 시스템을 거치지 않았다는 차이는 남습니다.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부문별 자본을 알 수 없습니다.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삼성전자는 부문별 매출·영업이익·감가상각을 공시하지만 부문 자산은 공시하지 않습니다. 반도체(DS)와 모바일(DX)의 ROIC를 따로 구할 수 없다는 뜻이고, 이는 알파벳에서 구글 클라우드 ROIC를 구할 수 없던 것과 같은 제약입니다.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환율 위험을 모형에 넣지 않았습니다.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원화로 계산하고 1,379.41원/$로 환산만 했습니다. 달러 기준 투자자에게는 환율이 별도의 손익 요인입니다.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지배구조 할인을 반영하지 않았습니다.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두 회사 모두 지주 구조와 소액주주 보호 수준이 미국 기업과 다르고, 시장은 통상 이를 할인해 반영합니다. 이 모형은 현금흐름만 봅니다.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2026년 상반기 실적은 검토(review)이지 감사(audit)가 아닙니다.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연환산 시나리오의 출발점이 감사받지 않은 숫자라는 뜻입니다.</w:t>
      </w: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검증 상태: work/verify_korea.py의 114개 정합성·범위 검증을 모두 통과했습니다. 이 검증이 실제로 파싱 오류 두 건을 잡아냈습니다 — 주석번호가 금액에 달라붙어 삼성전자 단기차입금이 4경 원으로 나온 건, 그리고 '법인세비용(환입)' 표기 변화로 FY2024의 법인세가 FY2023 행에 들어간 건입니다. 둘 다 수정 후 재계산했습니다.</w:t>
      </w:r>
    </w:p>
    <w:sectPr>
      <w:pgSz w:w="12240" w:h="15840" w:orient="portrait"/>
      <w:pgMar w:top="1152" w:right="1080" w:bottom="115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2026-09-01T10:37:42.881Z</dcterms:created>
  <dcterms:modified xsi:type="dcterms:W3CDTF">2026-09-01T10:37:42.881Z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