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스페이스X · 테슬라 기업분석</w:t>
      </w:r>
    </w:p>
    <w:p>
      <w:pPr>
        <w:pBdr>
          <w:bottom w:val="single" w:color="1F3864" w:sz="8" w:space="8"/>
        </w:pBdr>
        <w:spacing w:after="32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메모 5건 회신 · 버핏 기준 정립 · 알파벳 가치와 주가 평가 · 생성 undefined</w:t>
      </w:r>
    </w:p>
    <w:p>
      <w:pPr>
        <w:pStyle w:val="Heading1"/>
        <w:spacing w:after="160" w:before="400"/>
      </w:pPr>
      <w:r>
        <w:rPr>
          <w:rFonts w:ascii="Malgun Gothic" w:cs="Malgun Gothic" w:eastAsia="Malgun Gothic" w:hAnsi="Malgun Gothic"/>
          <w:b/>
          <w:bCs/>
          <w:color w:val="1F3864"/>
          <w:sz w:val="28"/>
          <w:szCs w:val="28"/>
        </w:rPr>
        <w:t xml:space="preserve">스페이스X · 테슬라 기업분석</w:t>
      </w:r>
    </w:p>
    <w:p>
      <w:pPr>
        <w:pBdr>
          <w:left w:val="single" w:color="BFBFBF" w:sz="12" w:space="10"/>
        </w:pBdr>
        <w:spacing w:after="180" w:before="100" w:line="264"/>
        <w:ind w:left="20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자료 SEC 공시 (SPCX 10-Q 2026-09-30 기말, 424B4 2026-06-12 · TSLA 10-K FY2025, 10-Q 2026-09-30 기말) · 주가 2026-10-28 종가 · WACC 10% 고정 · 작성 2026-10-29 · 검증 124건 통과, 변이 11/11 탐지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요약</w:t>
      </w: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먼저 정정합니다. 스페이스X는 비상장이 아닙니다.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제가 기억으로 비상장이라고 단정했는데, EDGAR를 조회하니 2026년 6월 나스닥에 상장(티커 SPCX, 424B4 6월 12일, Class A 6억 3,890만주 × $135.00)했고 10-Q가 두 건 제출돼 있습니다. 조회가 먼저였으면 생기지 않을 오류였습니다.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그리고 SPCX는 발사체 회사가 아닙니다.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10-Q 주석 1은 세 개 사업부를 설명합니다 — Space(발사체), Connectivity(스타링크), 그리고 Super Intelligence(SI 인프라 + Grok + Cursor + X). Cursor(Anysphere)는 2026년 8월 14일 지분가치 $60bn 기준 주식 $42,723m으로 인수했습니다. 영업권이 투하자본의 39%입니다.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두 회사 모두 ROIC가 자본비용 10%에 미달합니다.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스페이스X는 가장 관대한 관점(영업권·건설중자산 제외)에서도 2.2%, 테슬라는 FY2025 7.2%입니다. 테슬라의 10년 중위는 9.9%로 문턱 근처이고, 문턱을 넘긴 해는 5/10년입니다.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다만 스페이스X에는 사업부별로 전혀 다른 이야기가 숨어 있습니다.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9개월 기준 스타링크는 매출 12,796백만 달러에 영업이익 5,211백만 달러(마진 41%)로, 자기 capex 4,242백만 달러를 스스로 대고도 남습니다. SI 사업부는 영업적자 -3,295백만 달러에 capex 39,995백만 달러 — 자기 매출의 3.7배이고 그룹 전체 capex의 83%입니다.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가장 중요한 한계를 먼저 말씀드립니다. 스페이스X에는 버핏 기준의 핵심인 10년 일관성 검정을 적용할 수 없습니다.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10-K가 아직 없고, 감사된 연간 수치는 등록신고서의 3개 회계연도(FY2023~FY2025)뿐입니다. 그 3년 중 영업이익 흑자는 FY2024 한 해($466m, 마진 3.3%)입니다. 이건 자료를 더 찾아서 해결되는 문제가 아니라, 회사가 아직 그만큼의 공개 이력을 갖고 있지 않다는 사실입니다.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1. 사실관계 — 조회로 확정한 것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1872"/>
        <w:gridCol w:w="3744"/>
        <w:gridCol w:w="3744"/>
      </w:tblGrid>
      <w:tr>
        <w:trPr>
          <w:tblHeader/>
        </w:trPr>
        <w:tc>
          <w:tcPr>
            <w:tcW w:type="dxa" w:w="1872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374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스페이스X (SPCX)</w:t>
            </w:r>
          </w:p>
        </w:tc>
        <w:tc>
          <w:tcPr>
            <w:tcW w:type="dxa" w:w="374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테슬라 (TSLA)</w:t>
            </w:r>
          </w:p>
        </w:tc>
      </w:tr>
      <w:tr>
        <w:tc>
          <w:tcPr>
            <w:tcW w:type="dxa" w:w="18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CIK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1181412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1318605</w:t>
            </w:r>
          </w:p>
        </w:tc>
      </w:tr>
      <w:tr>
        <w:tc>
          <w:tcPr>
            <w:tcW w:type="dxa" w:w="1872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거래소·티커</w:t>
            </w:r>
          </w:p>
        </w:tc>
        <w:tc>
          <w:tcPr>
            <w:tcW w:type="dxa" w:w="374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나스닥 SPCX</w:t>
            </w:r>
          </w:p>
        </w:tc>
        <w:tc>
          <w:tcPr>
            <w:tcW w:type="dxa" w:w="374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나스닥 TSLA</w:t>
            </w:r>
          </w:p>
        </w:tc>
      </w:tr>
      <w:tr>
        <w:tc>
          <w:tcPr>
            <w:tcW w:type="dxa" w:w="18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상장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2026년 6월 (424B4 6/12)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2010년 6월</w:t>
            </w:r>
          </w:p>
        </w:tc>
      </w:tr>
      <w:tr>
        <w:tc>
          <w:tcPr>
            <w:tcW w:type="dxa" w:w="1872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SIC</w:t>
            </w:r>
          </w:p>
        </w:tc>
        <w:tc>
          <w:tcPr>
            <w:tcW w:type="dxa" w:w="374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7370 Services-Computer Programming, Data Processing, Etc.</w:t>
            </w:r>
          </w:p>
        </w:tc>
        <w:tc>
          <w:tcPr>
            <w:tcW w:type="dxa" w:w="374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3711 Motor Vehicles &amp; Passenger Car Bodies</w:t>
            </w:r>
          </w:p>
        </w:tc>
      </w:tr>
      <w:tr>
        <w:tc>
          <w:tcPr>
            <w:tcW w:type="dxa" w:w="18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결산월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12월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12월</w:t>
            </w:r>
          </w:p>
        </w:tc>
      </w:tr>
      <w:tr>
        <w:tc>
          <w:tcPr>
            <w:tcW w:type="dxa" w:w="1872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10-K</w:t>
            </w:r>
          </w:p>
        </w:tc>
        <w:tc>
          <w:tcPr>
            <w:tcW w:type="dxa" w:w="374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없음</w:t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 (첫 10-K는 2027년 초 예상)</w:t>
            </w:r>
          </w:p>
        </w:tc>
        <w:tc>
          <w:tcPr>
            <w:tcW w:type="dxa" w:w="374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FY2025분 2026-01-29 제출</w:t>
            </w:r>
          </w:p>
        </w:tc>
      </w:tr>
      <w:tr>
        <w:tc>
          <w:tcPr>
            <w:tcW w:type="dxa" w:w="18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최신 10-Q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2026-09-30 기말 (10-22 제출)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2026-09-30 기말 (10-22 제출)</w:t>
            </w:r>
          </w:p>
        </w:tc>
      </w:tr>
      <w:tr>
        <w:tc>
          <w:tcPr>
            <w:tcW w:type="dxa" w:w="1872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연간 감사수치 출처</w:t>
            </w:r>
          </w:p>
        </w:tc>
        <w:tc>
          <w:tcPr>
            <w:tcW w:type="dxa" w:w="374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등록신고서 424B4 (FY2023~FY2025)</w:t>
            </w:r>
          </w:p>
        </w:tc>
        <w:tc>
          <w:tcPr>
            <w:tcW w:type="dxa" w:w="374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10-K (FY2016~FY2025)</w:t>
            </w:r>
          </w:p>
        </w:tc>
      </w:tr>
      <w:tr>
        <w:tc>
          <w:tcPr>
            <w:tcW w:type="dxa" w:w="18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사업부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Space · Connectivity · Super Intelligence</w:t>
            </w:r>
          </w:p>
        </w:tc>
        <w:tc>
          <w:tcPr>
            <w:tcW w:type="dxa" w:w="37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단일 보고부문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스페이스X의 companyfacts API에는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연간 기간이 하나도 없습니다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— 10-Q의 분기·누적 자료만 있습니다. 그래서 연간 수치는 1,167만 자(11MB) 분량의 424B4 본문에서 표를 찾아 읽었습니다. 표 번호는 개정판마다 바뀌므로 위치가 아니라 내용으로 찾도록 했습니다.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2. 스페이스X — 사업부가 말해주는 것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연결 영업이익률 3%는 이 회사를 거의 설명하지 못합니다. 세 사업부의 경제성이 완전히 다르고, 공시는 사업부별 매출· 영업이익·capex를 모두 제공합니다.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246"/>
        <w:gridCol w:w="1423"/>
        <w:gridCol w:w="1423"/>
        <w:gridCol w:w="1423"/>
        <w:gridCol w:w="1423"/>
        <w:gridCol w:w="1423"/>
      </w:tblGrid>
      <w:tr>
        <w:trPr>
          <w:tblHeader/>
        </w:trPr>
        <w:tc>
          <w:tcPr>
            <w:tcW w:type="dxa" w:w="224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사업부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매출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영업이익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마진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capex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capex/매출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발사체 (Space)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3,348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-1,211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-36%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3,832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1.1x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스타링크 (Connectivity)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12,796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5,211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41%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4,242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0.3x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슈퍼인텔리전스 (SI)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10,939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-3,295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-30%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39,995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3.7x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합계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27,083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705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48,069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1.8x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0"/>
        </w:pBdr>
        <w:spacing w:after="180" w:before="100" w:line="264"/>
        <w:ind w:left="20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2026년 1~9월, 단위 백만 달러.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사업부별 투하자본은 공시되지 않으므로 사업부 ROIC는 계산할 수 없습니다. 분모를 임의로 만들지 않고, 대신 같은 기간에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자기가 번 영업이익으로 자기 capex를 댈 수 있는가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봤습니다. 분모를 발명하지 않아도 답이 보이는 질문입니다.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3463"/>
        <w:gridCol w:w="3463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사업부</w:t>
            </w:r>
          </w:p>
        </w:tc>
        <w:tc>
          <w:tcPr>
            <w:tcW w:type="dxa" w:w="346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영업이익 − capex</w:t>
            </w:r>
          </w:p>
        </w:tc>
        <w:tc>
          <w:tcPr>
            <w:tcW w:type="dxa" w:w="346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매출 성장(전년 9개월 대비)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발사체 (Space)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-5,043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2%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스타링크 (Connectivity)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969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57%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슈퍼인텔리전스 (SI)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-43,290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380%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스타링크만 양수입니다. 발사체는 매출이 2% 늘면서 적자로 돌아섰고, SI는 매출이 380% 늘었지만 그 성장에 매출의 3.7배를 쓰고 있습니다.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그룹 capex $48,069m 중 $39,995m(83%)이 SI로 갑니다.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지금의 스페이스X는 스타링크가 버는 돈과 IPO로 받은 $85,675m을 AI 인프라에 넣고 있는 회사입니다.</w:t>
      </w:r>
    </w:p>
    <w:p>
      <w:pPr>
        <w:pStyle w:val="Heading3"/>
        <w:spacing w:after="100" w:before="240"/>
      </w:pPr>
      <w:r>
        <w:rPr>
          <w:rFonts w:ascii="Malgun Gothic" w:cs="Malgun Gothic" w:eastAsia="Malgun Gothic" w:hAnsi="Malgun Gothic"/>
          <w:b/>
          <w:bCs/>
          <w:color w:val="8B3A2F"/>
          <w:sz w:val="20"/>
          <w:szCs w:val="20"/>
        </w:rPr>
        <w:t xml:space="preserve">연간 이력 — 있는 만큼만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1732"/>
        <w:gridCol w:w="1732"/>
        <w:gridCol w:w="1732"/>
        <w:gridCol w:w="1732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연도</w:t>
            </w:r>
          </w:p>
        </w:tc>
        <w:tc>
          <w:tcPr>
            <w:tcW w:type="dxa" w:w="1732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매출</w:t>
            </w:r>
          </w:p>
        </w:tc>
        <w:tc>
          <w:tcPr>
            <w:tcW w:type="dxa" w:w="1732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영업이익</w:t>
            </w:r>
          </w:p>
        </w:tc>
        <w:tc>
          <w:tcPr>
            <w:tcW w:type="dxa" w:w="1732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순이익</w:t>
            </w:r>
          </w:p>
        </w:tc>
        <w:tc>
          <w:tcPr>
            <w:tcW w:type="dxa" w:w="1732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영업이익률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FY2023</w:t>
            </w:r>
          </w:p>
        </w:tc>
        <w:tc>
          <w:tcPr>
            <w:tcW w:type="dxa" w:w="17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10,387</w:t>
            </w:r>
          </w:p>
        </w:tc>
        <w:tc>
          <w:tcPr>
            <w:tcW w:type="dxa" w:w="17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-3,505</w:t>
            </w:r>
          </w:p>
        </w:tc>
        <w:tc>
          <w:tcPr>
            <w:tcW w:type="dxa" w:w="17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-4,628</w:t>
            </w:r>
          </w:p>
        </w:tc>
        <w:tc>
          <w:tcPr>
            <w:tcW w:type="dxa" w:w="17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-33.7%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FY2024</w:t>
            </w:r>
          </w:p>
        </w:tc>
        <w:tc>
          <w:tcPr>
            <w:tcW w:type="dxa" w:w="1732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14,015</w:t>
            </w:r>
          </w:p>
        </w:tc>
        <w:tc>
          <w:tcPr>
            <w:tcW w:type="dxa" w:w="1732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466</w:t>
            </w:r>
          </w:p>
        </w:tc>
        <w:tc>
          <w:tcPr>
            <w:tcW w:type="dxa" w:w="1732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791</w:t>
            </w:r>
          </w:p>
        </w:tc>
        <w:tc>
          <w:tcPr>
            <w:tcW w:type="dxa" w:w="1732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3.3%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FY2025</w:t>
            </w:r>
          </w:p>
        </w:tc>
        <w:tc>
          <w:tcPr>
            <w:tcW w:type="dxa" w:w="17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18,674</w:t>
            </w:r>
          </w:p>
        </w:tc>
        <w:tc>
          <w:tcPr>
            <w:tcW w:type="dxa" w:w="17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-2,589</w:t>
            </w:r>
          </w:p>
        </w:tc>
        <w:tc>
          <w:tcPr>
            <w:tcW w:type="dxa" w:w="17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-4,937</w:t>
            </w:r>
          </w:p>
        </w:tc>
        <w:tc>
          <w:tcPr>
            <w:tcW w:type="dxa" w:w="17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-13.9%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0"/>
        </w:pBdr>
        <w:spacing w:after="180" w:before="100" w:line="264"/>
        <w:ind w:left="20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등록신고서 424B4 요약재무, 단위 백만 달러. FY2022 이전은 공개 공시에 없습니다.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3년 중 흑자 1년. 버핏 기준의 '10년간 꾸준한 수익력'은 이 자료로는 참도 거짓도 판정할 수 없습니다.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불가는 통과가 아닙니다.</w:t>
      </w:r>
    </w:p>
    <w:p>
      <w:pPr>
        <w:pStyle w:val="Heading3"/>
        <w:spacing w:after="100" w:before="240"/>
      </w:pPr>
      <w:r>
        <w:rPr>
          <w:rFonts w:ascii="Malgun Gothic" w:cs="Malgun Gothic" w:eastAsia="Malgun Gothic" w:hAnsi="Malgun Gothic"/>
          <w:b/>
          <w:bCs/>
          <w:color w:val="8B3A2F"/>
          <w:sz w:val="20"/>
          <w:szCs w:val="20"/>
        </w:rPr>
        <w:t xml:space="preserve">ROIC — 세 가지 분모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알파벳 분석에서 세웠던 구분을 그대로 적용했습니다. 자본을 쏟아붓는 회사는 사업이 나빠지지 않아도 ROIC가 떨어집니다 — 돈을 쓰는 순간 분모가 커지지만 분자는 그 자산이 가동될 때까지 기다리기 때문입니다.</w:t>
      </w:r>
    </w:p>
    <w:p>
      <w:pPr>
        <w:shd w:fill="F2F4F8" w:color="auto" w:val="clear"/>
        <w:spacing w:after="180" w:before="12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18"/>
          <w:szCs w:val="18"/>
        </w:rPr>
        <w:t xml:space="preserve">보고 = 자기자본+우선주+차입금−현금 · 영업 = 보고−영업권−무형자산 · 가동 = 영업−건설중자산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246"/>
        <w:gridCol w:w="1423"/>
        <w:gridCol w:w="1423"/>
        <w:gridCol w:w="1423"/>
        <w:gridCol w:w="1423"/>
        <w:gridCol w:w="1423"/>
      </w:tblGrid>
      <w:tr>
        <w:trPr>
          <w:tblHeader/>
        </w:trPr>
        <w:tc>
          <w:tcPr>
            <w:tcW w:type="dxa" w:w="224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분모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기초(2025-12)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기말(2026-09)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평균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ROIC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−10%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보고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39.5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125.8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82.6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0.9%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-9.1%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영업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26.1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71.0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48.5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1.5%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-8.5%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가동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21.5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47.2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34.4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2.2%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-7.8%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0"/>
        </w:pBdr>
        <w:spacing w:after="180" w:before="100" w:line="264"/>
        <w:ind w:left="20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단위 십억 달러. 분자는 9개월 영업이익 705백만 달러를 연율화한 940백만 달러에 법정세율 21%를 적용한 NOPAT 743백만 달러.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연율화는 거칠고, 그 점을 밝혀 둡니다. 분기마다 $20bn씩 설비를 늘리는 회사의 4분기는 앞 9개월의 3분의 1이 아닙니다. 그래도 9개월 분자를 연간 평균 분모에 나누면 수익률이 3분의 1로 깎이는데, 그게 더 큰 오류입니다.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세 관점 모두 문턱 아래입니다.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관대한 가동자본 기준으로도 2.2%, 10%까지 7.8% 부족합니다. 우선주를 자본에 넣은 이유는 2025년 12월 $38,752m이 있었고 IPO로 전환되어 2026년 9월 0이 되었기 때문입니다 — 빼면 돈을 조달한 해에 자본이 $38.8bn 줄어든 것처럼 보입니다.</w:t>
      </w:r>
    </w:p>
    <w:p>
      <w:pPr>
        <w:pStyle w:val="Heading3"/>
        <w:spacing w:after="100" w:before="240"/>
      </w:pPr>
      <w:r>
        <w:rPr>
          <w:rFonts w:ascii="Malgun Gothic" w:cs="Malgun Gothic" w:eastAsia="Malgun Gothic" w:hAnsi="Malgun Gothic"/>
          <w:b/>
          <w:bCs/>
          <w:color w:val="8B3A2F"/>
          <w:sz w:val="20"/>
          <w:szCs w:val="20"/>
        </w:rPr>
        <w:t xml:space="preserve">아직 돈을 벌지 않는 자본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2309"/>
        <w:gridCol w:w="2309"/>
        <w:gridCol w:w="2309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2025-12-31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2026-09-30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증가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PP&amp;E 총액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55,303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110,005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+99%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건설중자산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4,604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23,745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+416%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건설중 비중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8%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22%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영업권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11,809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48,423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+310%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계약잔고(RPO)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—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62,959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선수금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12,116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17,520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건설중자산이 9개월 만에 4,604에서 23,745백만 달러로 늘어, PP&amp;E 총액의 22%가 아직 가동되지 않은 자산입니다. 알파벳에서 이 비중이 38%였고 그 조정이 증분 ROIC를 25%에서 51%로 바꿨습니다. 여기서도 같은 방향으로 작용하지만, 출발점이 0.9%라서 2.2%가 되는 데 그칩니다.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계약잔고 63.0십억 달러는 연율 매출의 1.7배이고, 공시에 따르면 67%가 1년 내, 27%가 그 다음, 6%가 이후에 인식됩니다. 이미 받은 선수금은 17.5십억 달러입니다. 이건 앞으로의 매출을 뒷받침하는 사실이지만, 수익성을 뒷받침하지는 않습니다 — SI의 적자는 매출이 없어서가 아니라 매출보다 비용이 커서 나는 것입니다.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3. 테슬라 — 10년이 있는 쪽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246"/>
        <w:gridCol w:w="1423"/>
        <w:gridCol w:w="1423"/>
        <w:gridCol w:w="1423"/>
        <w:gridCol w:w="1423"/>
        <w:gridCol w:w="1423"/>
      </w:tblGrid>
      <w:tr>
        <w:trPr>
          <w:tblHeader/>
        </w:trPr>
        <w:tc>
          <w:tcPr>
            <w:tcW w:type="dxa" w:w="224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연도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매출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영업이익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영업이익률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ROIC</w:t>
            </w:r>
          </w:p>
        </w:tc>
        <w:tc>
          <w:tcPr>
            <w:tcW w:type="dxa" w:w="142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−10%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FY2016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7,000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-667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-9.5%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-9.1%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-19.1%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FY2017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11,759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-1,632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-13.9%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-12.2%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-22.2%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FY2018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21,461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-388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-1.8%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-2.4%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-12.4%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FY2019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24,578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-69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-0.3%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-0.4%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-10.4%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FY2020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31,536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1,994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6.3%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12.5%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2.5%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FY2021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53,823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6,523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12.1%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39.1%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29.1%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FY2022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81,462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13,656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16.8%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59.8%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49.8%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FY2023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96,773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8,891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9.2%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27.6%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17.6%</w:t>
            </w:r>
          </w:p>
        </w:tc>
      </w:tr>
      <w:tr>
        <w:tc>
          <w:tcPr>
            <w:tcW w:type="dxa" w:w="224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FY2024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97,690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7,076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7.2%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14.2%</w:t>
            </w:r>
          </w:p>
        </w:tc>
        <w:tc>
          <w:tcPr>
            <w:tcW w:type="dxa" w:w="142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4.2%</w:t>
            </w:r>
          </w:p>
        </w:tc>
      </w:tr>
      <w:tr>
        <w:tc>
          <w:tcPr>
            <w:tcW w:type="dxa" w:w="224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FY2025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94,827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4,355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4.6%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7.2%</w:t>
            </w:r>
          </w:p>
        </w:tc>
        <w:tc>
          <w:tcPr>
            <w:tcW w:type="dxa" w:w="142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-2.8%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0"/>
        </w:pBdr>
        <w:spacing w:after="180" w:before="100" w:line="264"/>
        <w:ind w:left="20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단위 백만 달러. 10-K 기준.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ROIC가 FY2022 59.8%에서 FY2025 7.2%로 내려왔습니다. 10년 중위 9.9%, 문턱 초과 5/10년 — '꾸준히 자본비용을 넘긴 회사'라고 하기 어렵습니다.</w:t>
      </w:r>
    </w:p>
    <w:p>
      <w:pPr>
        <w:pStyle w:val="Heading3"/>
        <w:spacing w:after="100" w:before="240"/>
      </w:pPr>
      <w:r>
        <w:rPr>
          <w:rFonts w:ascii="Malgun Gothic" w:cs="Malgun Gothic" w:eastAsia="Malgun Gothic" w:hAnsi="Malgun Gothic"/>
          <w:b/>
          <w:bCs/>
          <w:color w:val="8B3A2F"/>
          <w:sz w:val="20"/>
          <w:szCs w:val="20"/>
        </w:rPr>
        <w:t xml:space="preserve">증분 ROIC — 최근에 넣은 돈이 버는 것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10년 평균은 과거에 넣은 자본이 번 것을 말합니다. 지금 판단에 필요한 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최근에 넣은 자본이 버는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이고, 그건 영업이익 증가분을 투하자본 증가분으로 나눈 값입니다.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2309"/>
        <w:gridCol w:w="2309"/>
        <w:gridCol w:w="2309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구간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ΔNOPAT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Δ투하자본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증분 ROIC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FY2020→FY2025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1.7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33.2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5.1%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FY2022→FY2025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-9.3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21.0</w:t>
            </w:r>
          </w:p>
        </w:tc>
        <w:tc>
          <w:tcPr>
            <w:tcW w:type="dxa" w:w="2309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-44.5%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FY2023→FY2025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-5.3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8.4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-62.9%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0"/>
        </w:pBdr>
        <w:spacing w:after="180" w:before="100" w:line="264"/>
        <w:ind w:left="20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단위 십억 달러.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FY2022→FY2025에 투하자본이 21.0십억 달러 늘었는데 NOPAT은 -9.3십억 달러 줄었습니다. 증분 ROIC -44.5%는 '최근 3년에 추가로 넣은 자본이 수익을 전혀 늘리지 못했다'는 뜻입니다. FY2020 기준으로 보면 5.1%로, 플러스지만 역시 문턱 아래입니다.</w:t>
      </w:r>
    </w:p>
    <w:p>
      <w:pPr>
        <w:pStyle w:val="Heading3"/>
        <w:spacing w:after="100" w:before="240"/>
      </w:pPr>
      <w:r>
        <w:rPr>
          <w:rFonts w:ascii="Malgun Gothic" w:cs="Malgun Gothic" w:eastAsia="Malgun Gothic" w:hAnsi="Malgun Gothic"/>
          <w:b/>
          <w:bCs/>
          <w:color w:val="8B3A2F"/>
          <w:sz w:val="20"/>
          <w:szCs w:val="20"/>
        </w:rPr>
        <w:t xml:space="preserve">건설중자산을 빼면 달라지는가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2309"/>
        <w:gridCol w:w="2309"/>
        <w:gridCol w:w="2309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연도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보고 ROIC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가동자본 ROIC</w:t>
            </w:r>
          </w:p>
        </w:tc>
        <w:tc>
          <w:tcPr>
            <w:tcW w:type="dxa" w:w="2309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건설중 비중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FY2025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7.2%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8.8%</w:t>
            </w:r>
          </w:p>
        </w:tc>
        <w:tc>
          <w:tcPr>
            <w:tcW w:type="dxa" w:w="23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19%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FY2025 7.2% → 8.8%. 방향은 맞지만 문턱을 넘기지 못합니다. 알파벳과 달리 테슬라의 미사용 자본 비중은 19%로, 설명이 되는 크기가 아닙니다.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다만 테슬라도 같은 AI 설비 투자를 하고 있습니다. PP&amp;E의 AI·SI 인프라 항목이 2024년 12월 5,152에서 2026년 9월 10,956백만 달러로 늘었습니다. FY2025 10-K는 이 항목을 'AI infrastructure'로, 2026년 3분기 10-Q는 'SI infrastructure'로 부릅니다 — 스페이스X가 AI 사업부를 Super Intelligence로 개칭한 것과 같은 변경입니다.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4. 가격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3463"/>
        <w:gridCol w:w="3463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346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스페이스X</w:t>
            </w:r>
          </w:p>
        </w:tc>
        <w:tc>
          <w:tcPr>
            <w:tcW w:type="dxa" w:w="346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테슬라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주가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$145.23 (2026-10-28)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$404.22 (2026-10-28)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발행주식수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13.579십억주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3.953십억주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시가총액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1,972십억 달러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1,598십억 달러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연율 NOPAT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0.7십억 달러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3.2십억 달러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시가총액 / NOPAT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2,656배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502배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DCF를 돌리지 않았습니다.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알파벳에서는 성장률이 떨어지는 여러 시나리오로 현재가치를 쌓았지만, 그 계산은 출발점이 되는 정상 수익력이 있어야 성립합니다. 스페이스X는 3년 중 2년이 영업적자이고 분기마다 자본구조가 바뀌고 있어서, 어떤 숫자를 기준 수익력으로 잡아도 그 선택이 결과를 전부 결정합니다. 테슬라는 기준 수익력은 있지만 증분 ROIC가 음수여서, 성장을 가정하는 모형이 가치를 늘리는 게 아니라 줄입니다. 두 경우 모두 모형을 돌리는 것이 정확도를 높이지 않고 가정을 숨깁니다.</w:t>
      </w: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대신 거꾸로 묻는 게 정직합니다. 테슬라의 현재 시가총액 1,598십억 달러가 10% 수익률을 내려면 NOPAT이 160십억 달러여야 합니다. FY2025 실적의 50배입니다. 스페이스X는 197십억 달러가 필요한데 연율 NOPAT이 0.7십억 달러입니다.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5. 버핏 기준 판정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3463"/>
        <w:gridCol w:w="3463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기준</w:t>
            </w:r>
          </w:p>
        </w:tc>
        <w:tc>
          <w:tcPr>
            <w:tcW w:type="dxa" w:w="346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스페이스X</w:t>
            </w:r>
          </w:p>
        </w:tc>
        <w:tc>
          <w:tcPr>
            <w:tcW w:type="dxa" w:w="3463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테슬라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이해할 수 있는 사업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세 사업부의 경제성이 전혀 다르고, 그중 하나는 2개월 전 인수한 AI 사업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△ 자동차·에너지는 명확, AI·로보틱스 비중이 커지는 중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10년 일관된 수익력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판정 불가</w:t>
            </w: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 — 감사된 연간 수치 3년, 그중 흑자 1년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문턱 초과 5/10년, 중위 9.9%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ROIC &gt; WACC(10%)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보고 0.9% · 가동 2.2%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FY2025 7.2% · 가동 8.8%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증분 ROIC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산출 불가 (자본구조 급변) · SI capex는 매출의 3.7배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FY2022→25 -44.5%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낮은 부채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△ 차입금 39십억 달러에 현금·유가증권 90십억 달러로 순현금</w:t>
            </w:r>
          </w:p>
        </w:tc>
        <w:tc>
          <w:tcPr>
            <w:tcW w:type="dxa" w:w="34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△ 순현금이지만 FY2025 영업이익이 이자비용 대비 축소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가격 매력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시총/NOPAT 2,656배</w:t>
            </w:r>
          </w:p>
        </w:tc>
        <w:tc>
          <w:tcPr>
            <w:tcW w:type="dxa" w:w="3463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✗ 시총/NOPAT 502배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스페이스X 안에서 버핏 기준을 자기 숫자로 통과하는 사업은 스타링크 하나입니다.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9개월 영업이익률 41%, 자기 capex를 자기 영업이익으로 대고, 매출이 57% 늘었습니다. 문제는 그걸 따로 살 수 없다는 것입니다 — SPCX를 사면 스타링크가 버는 돈을 SI 사업부에 넣는 결정을 함께 사게 됩니다. 지금 그 비율은 그룹 capex의 83%입니다.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6. 이 분석의 한계</w:t>
      </w:r>
    </w:p>
    <w:p>
      <w:pPr>
        <w:pStyle w:val="ListParagraph"/>
        <w:numPr>
          <w:ilvl w:val="0"/>
          <w:numId w:val="2"/>
        </w:numPr>
        <w:spacing w:after="120" w:line="284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스페이스X는 10년 검정을 할 수 없습니다.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중요한 한계이고, 자료를 더 찾아 해결되지 않습니다. 첫 10-K가 나오는 2027년 초에 FY2026 연간 수치가 확정되면 4년이 됩니다.</w:t>
      </w:r>
    </w:p>
    <w:p>
      <w:pPr>
        <w:pStyle w:val="ListParagraph"/>
        <w:numPr>
          <w:ilvl w:val="0"/>
          <w:numId w:val="2"/>
        </w:numPr>
        <w:spacing w:after="120" w:line="284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9개월을 연율화했습니다.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자본이 분기마다 수십억 달러씩 늘고 있어 4분기가 앞 9개월과 같은 속도일 이유가 없습니다. ROIC 수준은 ±1%p 이상 달라질 수 있지만, 10% 문턱 판정은 바뀌지 않습니다 (가장 관대한 관점에서도 7.8%p 부족).</w:t>
      </w:r>
    </w:p>
    <w:p>
      <w:pPr>
        <w:pStyle w:val="ListParagraph"/>
        <w:numPr>
          <w:ilvl w:val="0"/>
          <w:numId w:val="2"/>
        </w:numPr>
        <w:spacing w:after="120" w:line="284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사업부 ROIC는 계산하지 않았습니다.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사업부별 투하자본이 공시되지 않습니다. 사업부 capex를 누적해 분모를 만드는 방법이 있지만, 그건 측정이 아니라 추정이고 결과를 좌우합니다.</w:t>
      </w:r>
    </w:p>
    <w:p>
      <w:pPr>
        <w:pStyle w:val="ListParagraph"/>
        <w:numPr>
          <w:ilvl w:val="0"/>
          <w:numId w:val="2"/>
        </w:numPr>
        <w:spacing w:after="120" w:line="284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Cursor 인수 2개월분만 반영돼 있습니다.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2026년 8월 14일 종료이므로 3분기 실적에 1.5개월만 들어 있고, 영업권 48십억 달러는 전액 반영돼 있습니다. 분자와 분모의 기간이 어긋나 있어 다음 분기부터 ROIC가 올라갈 여지가 있습니다.</w:t>
      </w:r>
    </w:p>
    <w:p>
      <w:pPr>
        <w:pStyle w:val="ListParagraph"/>
        <w:numPr>
          <w:ilvl w:val="0"/>
          <w:numId w:val="2"/>
        </w:numPr>
        <w:spacing w:after="120" w:line="284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DCF를 돌리지 않았습니다.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이유는 4장에 적었습니다. 필요하시면 기준 수익력을 무엇으로 잡을지 먼저 정한 뒤에 돌리겠습니다.</w:t>
      </w:r>
    </w:p>
    <w:p>
      <w:pPr>
        <w:pStyle w:val="ListParagraph"/>
        <w:numPr>
          <w:ilvl w:val="0"/>
          <w:numId w:val="2"/>
        </w:numPr>
        <w:spacing w:after="120" w:line="284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WACC 10%는 지시에 따른 고정값입니다.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두 회사의 실제 자본비용은 다르고, 특히 스페이스X는 상장 4개월째여서 시장 기반 추정이 의미를 갖기 어렵습니다.</w:t>
      </w:r>
    </w:p>
    <w:p>
      <w:pPr>
        <w:pStyle w:val="Heading2"/>
        <w:spacing w:after="120" w:before="300"/>
      </w:pPr>
      <w:r>
        <w:rPr>
          <w:rFonts w:ascii="Malgun Gothic" w:cs="Malgun Gothic" w:eastAsia="Malgun Gothic" w:hAnsi="Malgun Gothic"/>
          <w:b/>
          <w:bCs/>
          <w:color w:val="1F3864"/>
          <w:sz w:val="23"/>
          <w:szCs w:val="23"/>
        </w:rPr>
        <w:t xml:space="preserve">7. 검증과 재현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6926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검증 방식</w:t>
            </w:r>
          </w:p>
        </w:tc>
        <w:tc>
          <w:tcPr>
            <w:tcW w:type="dxa" w:w="692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항등식</w:t>
            </w:r>
          </w:p>
        </w:tc>
        <w:tc>
          <w:tcPr>
            <w:tcW w:type="dxa" w:w="6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투하자본 구성, NOPAT, ROIC, 평균 산정, PP&amp;E 순액=총액−감가상각누계, 시가총액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합계 검정</w:t>
            </w:r>
          </w:p>
        </w:tc>
        <w:tc>
          <w:tcPr>
            <w:tcW w:type="dxa" w:w="692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사업부 매출·영업이익·capex의 합이 연결 수치와 일치, PP&amp;E 구성항목이 총액 범위 내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범위 검정</w:t>
            </w:r>
          </w:p>
        </w:tc>
        <w:tc>
          <w:tcPr>
            <w:tcW w:type="dxa" w:w="6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발행주식수 10억~1,000억주, 시가총액 1,000억~10조 달러 (배율 오류 탐지용)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공시 앵커</w:t>
            </w:r>
          </w:p>
        </w:tc>
        <w:tc>
          <w:tcPr>
            <w:tcW w:type="dxa" w:w="692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20건 — 공시 본문에서 손으로 읽은 수치와 대조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합계</w:t>
            </w:r>
          </w:p>
        </w:tc>
        <w:tc>
          <w:tcPr>
            <w:tcW w:type="dxa" w:w="6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124건 전부 통과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변이 검정</w:t>
            </w:r>
          </w:p>
        </w:tc>
        <w:tc>
          <w:tcPr>
            <w:tcW w:type="dxa" w:w="692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11건 전부 탐지 (10-K 존재를 위조하는 변이 포함)</w:t>
            </w:r>
          </w:p>
        </w:tc>
      </w:tr>
    </w:tbl>
    <w:p>
      <w:pPr>
        <w:spacing w:after="200"/>
      </w:pPr>
    </w:p>
    <w:p>
      <w:pPr>
        <w:spacing w:after="140" w:line="288"/>
      </w:pPr>
      <w:r>
        <w:rPr>
          <w:rFonts w:ascii="Malgun Gothic" w:cs="Malgun Gothic" w:eastAsia="Malgun Gothic" w:hAnsi="Malgun Gothic"/>
          <w:sz w:val="19"/>
          <w:szCs w:val="19"/>
        </w:rPr>
        <w:t xml:space="preserve">합계 검정이 특히 중요했습니다. 이 수치들은 API가 아니라 공시 렌더링을 파싱해 얻은 것이고, 파서가 숫자 대신 표제 행을 잡거나 '$ in Millions' 배율을 주식수에 적용하면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내부적으로 일관되면서 틀린 값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나옵니다. 실제로 둘 다 일어났습니다 — 우선주가 0으로 읽힌 것은 $38,752m 위의 표제를 잡았기 때문이고, 주식수가 1.4×10¹⁶으로 나와 시가총액이 200경 달러가 된 적도 있습니다. 사업부 합계와 범위 검정이 그 부류를 잡습니다.</w:t>
      </w:r>
    </w:p>
    <w:tbl>
      <w:tblPr>
        <w:tblW w:type="dxa" w:w="9360"/>
        <w:tblBorders>
          <w:top w:val="single" w:color="BFBFBF" w:sz="2"/>
          <w:left w:val="none"/>
          <w:bottom w:val="single" w:color="BFBFBF" w:sz="2"/>
          <w:right w:val="none"/>
          <w:insideH w:val="single" w:color="D9D9D9" w:sz="1"/>
          <w:insideV w:val="none"/>
        </w:tblBorders>
      </w:tblPr>
      <w:tblGrid>
        <w:gridCol w:w="2434"/>
        <w:gridCol w:w="6926"/>
      </w:tblGrid>
      <w:tr>
        <w:trPr>
          <w:tblHeader/>
        </w:trPr>
        <w:tc>
          <w:tcPr>
            <w:tcW w:type="dxa" w:w="2434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파일</w:t>
            </w:r>
          </w:p>
        </w:tc>
        <w:tc>
          <w:tcPr>
            <w:tcW w:type="dxa" w:w="6926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역할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collect_spx_tsla.py</w:t>
            </w:r>
          </w:p>
        </w:tc>
        <w:tc>
          <w:tcPr>
            <w:tcW w:type="dxa" w:w="6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10-Q·10-K·424B4에서 재무제표 표 수집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analyse_spx_tsla.py</w:t>
            </w:r>
          </w:p>
        </w:tc>
        <w:tc>
          <w:tcPr>
            <w:tcW w:type="dxa" w:w="692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ROIC 3개 관점·사업부·증분·가격</w:t>
            </w:r>
          </w:p>
        </w:tc>
      </w:tr>
      <w:tr>
        <w:tc>
          <w:tcPr>
            <w:tcW w:type="dxa" w:w="243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verify_spx_tsla.py</w:t>
            </w:r>
          </w:p>
        </w:tc>
        <w:tc>
          <w:tcPr>
            <w:tcW w:type="dxa" w:w="6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항등식·합계·앵커 + 변이 검정</w:t>
            </w:r>
          </w:p>
        </w:tc>
      </w:tr>
      <w:tr>
        <w:tc>
          <w:tcPr>
            <w:tcW w:type="dxa" w:w="2434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export_spx_tsla.py</w:t>
            </w:r>
          </w:p>
        </w:tc>
        <w:tc>
          <w:tcPr>
            <w:tcW w:type="dxa" w:w="6926"/>
            <w:shd w:fill="F2F4F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  <w:jc w:val="righ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마크다운·워드·엑셀 작성</w:t>
            </w:r>
          </w:p>
        </w:tc>
      </w:tr>
    </w:tbl>
    <w:p>
      <w:pPr>
        <w:spacing w:after="200"/>
      </w:pPr>
    </w:p>
    <w:sectPr>
      <w:pgSz w:w="12240" w:h="15840" w:orient="portrait"/>
      <w:pgMar w:top="1152" w:right="1080" w:bottom="1152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2026-10-29T12:30:18.814Z</dcterms:created>
  <dcterms:modified xsi:type="dcterms:W3CDTF">2026-10-29T12:30:18.815Z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