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color w:val="1F3864"/>
          <w:sz w:val="36"/>
          <w:szCs w:val="36"/>
        </w:rPr>
        <w:t xml:space="preserve">삼성바이오로직스 — 버핏 기준 기업분석</w:t>
      </w:r>
    </w:p>
    <w:p>
      <w:pPr>
        <w:pBdr>
          <w:bottom w:val="single" w:color="1F3864" w:sz="8" w:space="8"/>
        </w:pBdr>
        <w:spacing w:after="320"/>
      </w:pPr>
      <w:r>
        <w:rPr>
          <w:rFonts w:ascii="Malgun Gothic" w:cs="Malgun Gothic" w:eastAsia="Malgun Gothic" w:hAnsi="Malgun Gothic"/>
          <w:color w:val="595959"/>
          <w:sz w:val="18"/>
          <w:szCs w:val="18"/>
        </w:rPr>
        <w:t xml:space="preserve">CDMO 단일사업 기준 FY2016~FY2025 · 7개 기준 전수 적용 · 2026-09-14 종가 1,408,000원 대비 평가 · 생성 2026-09-14</w:t>
      </w:r>
    </w:p>
    <w:p>
      <w:pPr>
        <w:pStyle w:val="Heading1"/>
        <w:spacing w:after="160" w:before="400"/>
      </w:pPr>
      <w:r>
        <w:rPr>
          <w:rFonts w:ascii="Malgun Gothic" w:cs="Malgun Gothic" w:eastAsia="Malgun Gothic" w:hAnsi="Malgun Gothic"/>
          <w:b/>
          <w:bCs/>
          <w:color w:val="1F3864"/>
          <w:sz w:val="28"/>
          <w:szCs w:val="28"/>
        </w:rPr>
        <w:t xml:space="preserve">결론 요약</w:t>
      </w:r>
    </w:p>
    <w:p>
      <w:pPr>
        <w:spacing w:after="140" w:line="288"/>
      </w:pPr>
      <w:r>
        <w:rPr>
          <w:rFonts w:ascii="Malgun Gothic" w:cs="Malgun Gothic" w:eastAsia="Malgun Gothic" w:hAnsi="Malgun Gothic"/>
          <w:sz w:val="19"/>
          <w:szCs w:val="19"/>
        </w:rPr>
        <w:t xml:space="preserve">삼성바이오로직스는 버핏이 세운 일곱 개 기준 가운데 사업의 질에 관한 여섯 개를 대체로 통과합니다. 통과하지 못하는 것은 일곱 번째, 가격입니다. 그리고 그 미달 폭은 판단의 여지가 있는 정도가 아닙니다.</w:t>
      </w:r>
    </w:p>
    <w:tbl>
      <w:tblPr>
        <w:tblW w:type="dxa" w:w="9360"/>
        <w:tblBorders>
          <w:top w:val="single" w:color="BFBFBF" w:sz="2"/>
          <w:left w:val="none"/>
          <w:bottom w:val="single" w:color="BFBFBF" w:sz="2"/>
          <w:right w:val="none"/>
          <w:insideH w:val="single" w:color="D9D9D9" w:sz="1"/>
          <w:insideV w:val="none"/>
        </w:tblBorders>
      </w:tblPr>
      <w:tblGrid>
        <w:gridCol w:w="2139"/>
        <w:gridCol w:w="1337"/>
        <w:gridCol w:w="5883"/>
      </w:tblGrid>
      <w:tr>
        <w:trPr>
          <w:tblHeader/>
        </w:trPr>
        <w:tc>
          <w:tcPr>
            <w:tcW w:type="dxa" w:w="213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기준</w:t>
            </w:r>
          </w:p>
        </w:tc>
        <w:tc>
          <w:tcPr>
            <w:tcW w:type="dxa" w:w="1337"/>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판정</w:t>
            </w:r>
          </w:p>
        </w:tc>
        <w:tc>
          <w:tcPr>
            <w:tcW w:type="dxa" w:w="5883"/>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근거</w:t>
            </w:r>
          </w:p>
        </w:tc>
      </w:tr>
      <w:tr>
        <w:tc>
          <w:tcPr>
            <w:tcW w:type="dxa" w:w="213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 이해할 수 있는 사업</w:t>
            </w:r>
          </w:p>
        </w:tc>
        <w:tc>
          <w:tcPr>
            <w:tcW w:type="dxa" w:w="1337"/>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w:t>
            </w:r>
          </w:p>
        </w:tc>
        <w:tc>
          <w:tcPr>
            <w:tcW w:type="dxa" w:w="588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위탁생산 한 가지. 분할 후 단일 부문. 매출 인식과 원가 구조가 단순</w:t>
            </w:r>
          </w:p>
        </w:tc>
      </w:tr>
      <w:tr>
        <w:tc>
          <w:tcPr>
            <w:tcW w:type="dxa" w:w="213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 기존 자본의 수익률 &gt; 자본비용</w:t>
            </w:r>
          </w:p>
        </w:tc>
        <w:tc>
          <w:tcPr>
            <w:tcW w:type="dxa" w:w="1337"/>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w:t>
            </w:r>
          </w:p>
        </w:tc>
        <w:tc>
          <w:tcPr>
            <w:tcW w:type="dxa" w:w="588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 ROIC 23.7% vs 자본비용 9.0%~13.0%</w:t>
            </w:r>
          </w:p>
        </w:tc>
      </w:tr>
      <w:tr>
        <w:tc>
          <w:tcPr>
            <w:tcW w:type="dxa" w:w="213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 지속되는 해자</w:t>
            </w:r>
          </w:p>
        </w:tc>
        <w:tc>
          <w:tcPr>
            <w:tcW w:type="dxa" w:w="1337"/>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조건부 통과</w:t>
            </w:r>
          </w:p>
        </w:tc>
        <w:tc>
          <w:tcPr>
            <w:tcW w:type="dxa" w:w="588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규제에 묶인 전환비용과 세계 최대 규모. 다만 상위 5개 고객이 매출의 52.4%</w:t>
            </w:r>
          </w:p>
        </w:tc>
      </w:tr>
      <w:tr>
        <w:tc>
          <w:tcPr>
            <w:tcW w:type="dxa" w:w="213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 증분 자본의 수익률 &gt; 자본비용</w:t>
            </w:r>
          </w:p>
        </w:tc>
        <w:tc>
          <w:tcPr>
            <w:tcW w:type="dxa" w:w="1337"/>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w:t>
            </w:r>
          </w:p>
        </w:tc>
        <w:tc>
          <w:tcPr>
            <w:tcW w:type="dxa" w:w="588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5년 구간 증분 ROIC 24.9%~29.7%</w:t>
            </w:r>
          </w:p>
        </w:tc>
      </w:tr>
      <w:tr>
        <w:tc>
          <w:tcPr>
            <w:tcW w:type="dxa" w:w="213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 자본배분·주주지향</w:t>
            </w:r>
          </w:p>
        </w:tc>
        <w:tc>
          <w:tcPr>
            <w:tcW w:type="dxa" w:w="1337"/>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조건부 통과</w:t>
            </w:r>
          </w:p>
        </w:tc>
        <w:tc>
          <w:tcPr>
            <w:tcW w:type="dxa" w:w="588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재투자 수익률은 높으나 배당 0, 2022년 3.19조원 증자, 지배주주 74.3%</w:t>
            </w:r>
          </w:p>
        </w:tc>
      </w:tr>
      <w:tr>
        <w:tc>
          <w:tcPr>
            <w:tcW w:type="dxa" w:w="213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 이익의 질</w:t>
            </w:r>
          </w:p>
        </w:tc>
        <w:tc>
          <w:tcPr>
            <w:tcW w:type="dxa" w:w="1337"/>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조건부 통과</w:t>
            </w:r>
          </w:p>
        </w:tc>
        <w:tc>
          <w:tcPr>
            <w:tcW w:type="dxa" w:w="588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10년 누적 영업현금흐름−설비투자 560억원. 회계는 깨끗하나 주주에게 남은 현금은 없었음</w:t>
            </w:r>
          </w:p>
        </w:tc>
      </w:tr>
      <w:tr>
        <w:tc>
          <w:tcPr>
            <w:tcW w:type="dxa" w:w="213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 합리적인 가격</w:t>
            </w:r>
          </w:p>
        </w:tc>
        <w:tc>
          <w:tcPr>
            <w:tcW w:type="dxa" w:w="1337"/>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미달</w:t>
            </w:r>
          </w:p>
        </w:tc>
        <w:tc>
          <w:tcPr>
            <w:tcW w:type="dxa" w:w="588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모든 시나리오·모든 기준연도에서 시가총액 65.11조원에 미달</w:t>
            </w:r>
          </w:p>
        </w:tc>
      </w:tr>
    </w:tbl>
    <w:p>
      <w:pPr>
        <w:spacing w:after="200"/>
      </w:pPr>
    </w:p>
    <w:p>
      <w:pPr>
        <w:spacing w:after="140" w:line="288"/>
      </w:pPr>
      <w:r>
        <w:rPr>
          <w:rFonts w:ascii="Malgun Gothic" w:cs="Malgun Gothic" w:eastAsia="Malgun Gothic" w:hAnsi="Malgun Gothic"/>
          <w:b/>
          <w:bCs/>
          <w:sz w:val="19"/>
          <w:szCs w:val="19"/>
        </w:rPr>
        <w:t xml:space="preserve">가격.</w:t>
      </w:r>
      <w:r>
        <w:rPr>
          <w:rFonts w:ascii="Malgun Gothic" w:cs="Malgun Gothic" w:eastAsia="Malgun Gothic" w:hAnsi="Malgun Gothic"/>
          <w:sz w:val="19"/>
          <w:szCs w:val="19"/>
        </w:rPr>
        <w:t xml:space="preserve"> 2026년 9월 14일 종가 1,408,000원, 유통주식 46,239,518주, 시가총액 65.11조원입니다. 현재 환율로 환산한 2026년 실적 기준으로 가치를 계산하면 보수 16.41조원, 중립 25.50조원, 낙관 48.76조원입니다. 가장 낙관적인 경우에도 시장가보다 25.1% 낮습니다.</w:t>
      </w:r>
    </w:p>
    <w:p>
      <w:pPr>
        <w:spacing w:after="140" w:line="288"/>
      </w:pPr>
      <w:r>
        <w:rPr>
          <w:rFonts w:ascii="Malgun Gothic" w:cs="Malgun Gothic" w:eastAsia="Malgun Gothic" w:hAnsi="Malgun Gothic"/>
          <w:b/>
          <w:bCs/>
          <w:sz w:val="19"/>
          <w:szCs w:val="19"/>
        </w:rPr>
        <w:t xml:space="preserve">낙관 시나리오가 어느 정도로 낙관적인가.</w:t>
      </w:r>
      <w:r>
        <w:rPr>
          <w:rFonts w:ascii="Malgun Gothic" w:cs="Malgun Gothic" w:eastAsia="Malgun Gothic" w:hAnsi="Malgun Gothic"/>
          <w:sz w:val="19"/>
          <w:szCs w:val="19"/>
        </w:rPr>
        <w:t xml:space="preserve"> 첫해 성장률 25%, 증분 ROIC 26%, 할인율 9%입니다. 25%는 최근 5년 매출 CAGR 31.4%와 2026년 상반기 +28.0%보다 낮게, 즉 실적의 하단에 맞춘 값이고, 26%는 실측 증분 ROIC 구간(24.9~29.7%)의 중간이며, 9%는 계산한 자본비용 범위의 최저값입니다. 세 가지 모두 회사에 유리한 쪽 끝에 놓고도 값이 시장가에 닿지 않습니다.</w:t>
      </w:r>
    </w:p>
    <w:p>
      <w:pPr>
        <w:spacing w:after="140" w:line="288"/>
      </w:pPr>
      <w:r>
        <w:rPr>
          <w:rFonts w:ascii="Malgun Gothic" w:cs="Malgun Gothic" w:eastAsia="Malgun Gothic" w:hAnsi="Malgun Gothic"/>
          <w:b/>
          <w:bCs/>
          <w:sz w:val="19"/>
          <w:szCs w:val="19"/>
        </w:rPr>
        <w:t xml:space="preserve">현재 주가가 요구하는 것.</w:t>
      </w:r>
      <w:r>
        <w:rPr>
          <w:rFonts w:ascii="Malgun Gothic" w:cs="Malgun Gothic" w:eastAsia="Malgun Gothic" w:hAnsi="Malgun Gothic"/>
          <w:sz w:val="19"/>
          <w:szCs w:val="19"/>
        </w:rPr>
        <w:t xml:space="preserve"> 낙관 시나리오의 틀을 그대로 두고 성장률만 역산하면 첫해 34.0%가 필요합니다. 그 성장률은 증분 ROIC 26% 아래에서 재투자율 131%를 뜻하므로, 회사는 벌어들이는 세후영업이익보다 많은 돈을 매년 외부에서 조달해야 합니다. 할인율만 역산하면 7.8%, 자본비용 하한 9.0%보다 낮습니다. 증분 ROIC만 역산하면 어떤 값으로도 시장가에 닿지 않습니다.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이 결론은 사업에 대한 부정이 아닙니다. 아래 기준 2·4에서 보듯 이 회사가 투입한 자본에서 뽑아내는 수익률은 이 작업에서 다룬 52개 기업 가운데 상위권에 들어갑니다. 1996년 주주서한의 문장이 정확히 이 상황을 가리킵니다.</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"투자자가 훌륭한 기업을 사면서도 지나치게 높은 가격을 지불하면, 그 뒤 10년간 회사가 눈부시게 성장해도 그 성장의 열매가 주주에게 돌아오지 않을 수 있습니다. 최고의 기업에도 너무 많은 값을 치를 수 있습니다."</w:t>
      </w:r>
    </w:p>
    <w:p>
      <w:pPr>
        <w:spacing w:after="200"/>
        <w:ind w:left="360"/>
        <w:jc w:val="right"/>
      </w:pPr>
      <w:r>
        <w:rPr>
          <w:rFonts w:ascii="Malgun Gothic" w:cs="Malgun Gothic" w:eastAsia="Malgun Gothic" w:hAnsi="Malgun Gothic"/>
          <w:color w:val="595959"/>
          <w:sz w:val="16"/>
          <w:szCs w:val="16"/>
        </w:rPr>
        <w:t xml:space="preserve">— 1996년 버크셔 해서웨이 주주서한, '불가피한 기업들'(The Inevitables)</w:t>
      </w:r>
    </w:p>
    <w:p>
      <w:pPr>
        <w:pStyle w:val="Heading1"/>
        <w:spacing w:after="160" w:before="400"/>
      </w:pPr>
      <w:r>
        <w:rPr>
          <w:rFonts w:ascii="Malgun Gothic" w:cs="Malgun Gothic" w:eastAsia="Malgun Gothic" w:hAnsi="Malgun Gothic"/>
          <w:b/>
          <w:bCs/>
          <w:color w:val="1F3864"/>
          <w:sz w:val="28"/>
          <w:szCs w:val="28"/>
        </w:rPr>
        <w:t xml:space="preserve">1. 적용한 기준</w:t>
      </w:r>
    </w:p>
    <w:p>
      <w:pPr>
        <w:spacing w:after="140" w:line="288"/>
      </w:pPr>
      <w:r>
        <w:rPr>
          <w:rFonts w:ascii="Malgun Gothic" w:cs="Malgun Gothic" w:eastAsia="Malgun Gothic" w:hAnsi="Malgun Gothic"/>
          <w:sz w:val="19"/>
          <w:szCs w:val="19"/>
        </w:rPr>
        <w:t xml:space="preserve">이 보고서는 앞선 52개 기업 분석과 알파벳 심층분석에서 정리한 일곱 개 기준을 그대로 씁니다. 기준은 버핏의 주주서한에서 직접 따왔고, 각 기준의 출처를 함께 적습니다.</w:t>
      </w:r>
    </w:p>
    <w:p>
      <w:pPr>
        <w:pStyle w:val="ListParagraph"/>
        <w:numPr>
          <w:ilvl w:val="0"/>
          <w:numId w:val="2"/>
        </w:numPr>
        <w:spacing w:after="120" w:line="284"/>
      </w:pPr>
      <w:r>
        <w:rPr>
          <w:rFonts w:ascii="Malgun Gothic" w:cs="Malgun Gothic" w:eastAsia="Malgun Gothic" w:hAnsi="Malgun Gothic"/>
          <w:b/>
          <w:bCs/>
          <w:sz w:val="19"/>
          <w:szCs w:val="19"/>
        </w:rPr>
        <w:t xml:space="preserve">기준 1 — 이해할 수 있는 사업.</w:t>
      </w:r>
      <w:r>
        <w:rPr>
          <w:rFonts w:ascii="Malgun Gothic" w:cs="Malgun Gothic" w:eastAsia="Malgun Gothic" w:hAnsi="Malgun Gothic"/>
          <w:sz w:val="19"/>
          <w:szCs w:val="19"/>
        </w:rPr>
        <w:t xml:space="preserve"> 1977년 서한의 네 가지 조건 중 첫 번째. 무엇을 팔아 어떻게 돈을 버는지 설명할 수 있어야 합니다.</w:t>
      </w:r>
    </w:p>
    <w:p>
      <w:pPr>
        <w:pStyle w:val="ListParagraph"/>
        <w:numPr>
          <w:ilvl w:val="0"/>
          <w:numId w:val="2"/>
        </w:numPr>
        <w:spacing w:after="120" w:line="284"/>
      </w:pPr>
      <w:r>
        <w:rPr>
          <w:rFonts w:ascii="Malgun Gothic" w:cs="Malgun Gothic" w:eastAsia="Malgun Gothic" w:hAnsi="Malgun Gothic"/>
          <w:b/>
          <w:bCs/>
          <w:sz w:val="19"/>
          <w:szCs w:val="19"/>
        </w:rPr>
        <w:t xml:space="preserve">기준 2 — 기존 투하자본의 수익률이 자본비용을 넘는다.</w:t>
      </w:r>
      <w:r>
        <w:rPr>
          <w:rFonts w:ascii="Malgun Gothic" w:cs="Malgun Gothic" w:eastAsia="Malgun Gothic" w:hAnsi="Malgun Gothic"/>
          <w:sz w:val="19"/>
          <w:szCs w:val="19"/>
        </w:rPr>
        <w:t xml:space="preserve"> 2007년 서한의 '사업을 영위하기 위해 필요한 자본' 대비 수익.</w:t>
      </w:r>
    </w:p>
    <w:p>
      <w:pPr>
        <w:pStyle w:val="ListParagraph"/>
        <w:numPr>
          <w:ilvl w:val="0"/>
          <w:numId w:val="2"/>
        </w:numPr>
        <w:spacing w:after="120" w:line="284"/>
      </w:pPr>
      <w:r>
        <w:rPr>
          <w:rFonts w:ascii="Malgun Gothic" w:cs="Malgun Gothic" w:eastAsia="Malgun Gothic" w:hAnsi="Malgun Gothic"/>
          <w:b/>
          <w:bCs/>
          <w:sz w:val="19"/>
          <w:szCs w:val="19"/>
        </w:rPr>
        <w:t xml:space="preserve">기준 3 — 해자가 지속된다.</w:t>
      </w:r>
      <w:r>
        <w:rPr>
          <w:rFonts w:ascii="Malgun Gothic" w:cs="Malgun Gothic" w:eastAsia="Malgun Gothic" w:hAnsi="Malgun Gothic"/>
          <w:sz w:val="19"/>
          <w:szCs w:val="19"/>
        </w:rPr>
        <w:t xml:space="preserve"> 2007년 서한: 수익성 높은 사업에는 반드시 '성을 지키는 해자'가 있어야 하고, 그 해자는 오래 버텨야 합니다.</w:t>
      </w:r>
    </w:p>
    <w:p>
      <w:pPr>
        <w:pStyle w:val="ListParagraph"/>
        <w:numPr>
          <w:ilvl w:val="0"/>
          <w:numId w:val="2"/>
        </w:numPr>
        <w:spacing w:after="120" w:line="284"/>
      </w:pPr>
      <w:r>
        <w:rPr>
          <w:rFonts w:ascii="Malgun Gothic" w:cs="Malgun Gothic" w:eastAsia="Malgun Gothic" w:hAnsi="Malgun Gothic"/>
          <w:b/>
          <w:bCs/>
          <w:sz w:val="19"/>
          <w:szCs w:val="19"/>
        </w:rPr>
        <w:t xml:space="preserve">기준 4 — 증분 투하자본의 수익률이 자본비용을 넘는다.</w:t>
      </w:r>
      <w:r>
        <w:rPr>
          <w:rFonts w:ascii="Malgun Gothic" w:cs="Malgun Gothic" w:eastAsia="Malgun Gothic" w:hAnsi="Malgun Gothic"/>
          <w:sz w:val="19"/>
          <w:szCs w:val="19"/>
        </w:rPr>
        <w:t xml:space="preserve"> 2007년 서한의 '훌륭한·좋은·끔찍한' 3분류. 씨즈캔디는 성장에 자본이 거의 들지 않아 훌륭하고, 자본이 들지만 그 자본에서 높은 수익을 내면 좋은 기업입니다.</w:t>
      </w:r>
    </w:p>
    <w:p>
      <w:pPr>
        <w:pStyle w:val="ListParagraph"/>
        <w:numPr>
          <w:ilvl w:val="0"/>
          <w:numId w:val="2"/>
        </w:numPr>
        <w:spacing w:after="120" w:line="284"/>
      </w:pPr>
      <w:r>
        <w:rPr>
          <w:rFonts w:ascii="Malgun Gothic" w:cs="Malgun Gothic" w:eastAsia="Malgun Gothic" w:hAnsi="Malgun Gothic"/>
          <w:b/>
          <w:bCs/>
          <w:sz w:val="19"/>
          <w:szCs w:val="19"/>
        </w:rPr>
        <w:t xml:space="preserve">기준 5 — 자본배분과 주주지향.</w:t>
      </w:r>
      <w:r>
        <w:rPr>
          <w:rFonts w:ascii="Malgun Gothic" w:cs="Malgun Gothic" w:eastAsia="Malgun Gothic" w:hAnsi="Malgun Gothic"/>
          <w:sz w:val="19"/>
          <w:szCs w:val="19"/>
        </w:rPr>
        <w:t xml:space="preserve"> 1992년 서한의 스톡옵션 논의, 유보이익 1달러가 시장가치 1달러 이상을 만들어야 한다는 기준.</w:t>
      </w:r>
    </w:p>
    <w:p>
      <w:pPr>
        <w:pStyle w:val="ListParagraph"/>
        <w:numPr>
          <w:ilvl w:val="0"/>
          <w:numId w:val="2"/>
        </w:numPr>
        <w:spacing w:after="120" w:line="284"/>
      </w:pPr>
      <w:r>
        <w:rPr>
          <w:rFonts w:ascii="Malgun Gothic" w:cs="Malgun Gothic" w:eastAsia="Malgun Gothic" w:hAnsi="Malgun Gothic"/>
          <w:b/>
          <w:bCs/>
          <w:sz w:val="19"/>
          <w:szCs w:val="19"/>
        </w:rPr>
        <w:t xml:space="preserve">기준 6 — 이익의 질.</w:t>
      </w:r>
      <w:r>
        <w:rPr>
          <w:rFonts w:ascii="Malgun Gothic" w:cs="Malgun Gothic" w:eastAsia="Malgun Gothic" w:hAnsi="Malgun Gothic"/>
          <w:sz w:val="19"/>
          <w:szCs w:val="19"/>
        </w:rPr>
        <w:t xml:space="preserve"> 1986년 서한의 주주이익 정의.</w:t>
      </w:r>
    </w:p>
    <w:p>
      <w:pPr>
        <w:pStyle w:val="ListParagraph"/>
        <w:numPr>
          <w:ilvl w:val="0"/>
          <w:numId w:val="2"/>
        </w:numPr>
        <w:spacing w:after="120" w:line="284"/>
      </w:pPr>
      <w:r>
        <w:rPr>
          <w:rFonts w:ascii="Malgun Gothic" w:cs="Malgun Gothic" w:eastAsia="Malgun Gothic" w:hAnsi="Malgun Gothic"/>
          <w:b/>
          <w:bCs/>
          <w:sz w:val="19"/>
          <w:szCs w:val="19"/>
        </w:rPr>
        <w:t xml:space="preserve">기준 7 — 합리적인 가격.</w:t>
      </w:r>
      <w:r>
        <w:rPr>
          <w:rFonts w:ascii="Malgun Gothic" w:cs="Malgun Gothic" w:eastAsia="Malgun Gothic" w:hAnsi="Malgun Gothic"/>
          <w:sz w:val="19"/>
          <w:szCs w:val="19"/>
        </w:rPr>
        <w:t xml:space="preserve"> 1989년 서한 '적당한 기업을 훌륭한 가격에 사는 것보다 훌륭한 기업을 적당한 가격에 사는 것이 훨씬 낫다', 그리고 1992년 서한이 인용한 존 버 윌리엄스의 가치 정의.</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"가치평가의 기준은 변하지 않습니다. 어떤 주식, 채권, 사업의 가치든 적절한 이자율로 할인한 미래 현금 유출입이 결정합니다."</w:t>
      </w:r>
    </w:p>
    <w:p>
      <w:pPr>
        <w:spacing w:after="200"/>
        <w:ind w:left="360"/>
        <w:jc w:val="right"/>
      </w:pPr>
      <w:r>
        <w:rPr>
          <w:rFonts w:ascii="Malgun Gothic" w:cs="Malgun Gothic" w:eastAsia="Malgun Gothic" w:hAnsi="Malgun Gothic"/>
          <w:color w:val="595959"/>
          <w:sz w:val="16"/>
          <w:szCs w:val="16"/>
        </w:rPr>
        <w:t xml:space="preserve">— 1992년 버크셔 해서웨이 주주서한, 존 버 윌리엄스 『투자가치이론』 인용</w:t>
      </w:r>
    </w:p>
    <w:p>
      <w:pPr>
        <w:spacing w:after="140" w:line="288"/>
      </w:pPr>
      <w:r>
        <w:rPr>
          <w:rFonts w:ascii="Malgun Gothic" w:cs="Malgun Gothic" w:eastAsia="Malgun Gothic" w:hAnsi="Malgun Gothic"/>
          <w:sz w:val="19"/>
          <w:szCs w:val="19"/>
        </w:rPr>
        <w:t xml:space="preserve">현금흐름은 앞선 작업에서 정한 항등식으로 계산합니다. 성장률을 가정하면 재투자율은 자동으로 정해지므로, 어떤 시나리오도 대가를 치르지 않고 성장할 수 없습니다.</w:t>
      </w:r>
    </w:p>
    <w:p>
      <w:pPr>
        <w:shd w:fill="F2F4F8" w:color="auto" w:val="clear"/>
        <w:spacing w:after="180" w:before="120"/>
        <w:jc w:val="center"/>
      </w:pPr>
      <w:r>
        <w:rPr>
          <w:rFonts w:ascii="Malgun Gothic" w:cs="Malgun Gothic" w:eastAsia="Malgun Gothic" w:hAnsi="Malgun Gothic"/>
          <w:b/>
          <w:bCs/>
          <w:color w:val="1F3864"/>
          <w:sz w:val="18"/>
          <w:szCs w:val="18"/>
        </w:rPr>
        <w:t xml:space="preserve">FCF = NOPAT × (1 − 성장률 g ÷ 증분 ROIC)</w:t>
      </w:r>
    </w:p>
    <w:p>
      <w:pPr>
        <w:spacing w:after="140" w:line="288"/>
      </w:pPr>
      <w:r>
        <w:rPr>
          <w:rFonts w:ascii="Malgun Gothic" w:cs="Malgun Gothic" w:eastAsia="Malgun Gothic" w:hAnsi="Malgun Gothic"/>
          <w:sz w:val="19"/>
          <w:szCs w:val="19"/>
        </w:rPr>
        <w:t xml:space="preserve">이 항등식이 알파벳 분석에서보다 이 회사에서 훨씬 큰 역할을 합니다. 삼성바이오로직스의 성장률은 증분 ROIC에 근접해 있고 어떤 구간에서는 그것을 넘었습니다. 그것이 곧 '성장하는 동안 현금을 쓰는 기업'의 산술적 정의입니다.</w:t>
      </w:r>
    </w:p>
    <w:p>
      <w:pPr>
        <w:pStyle w:val="Heading1"/>
        <w:spacing w:after="160" w:before="400"/>
      </w:pPr>
      <w:r>
        <w:rPr>
          <w:rFonts w:ascii="Malgun Gothic" w:cs="Malgun Gothic" w:eastAsia="Malgun Gothic" w:hAnsi="Malgun Gothic"/>
          <w:b/>
          <w:bCs/>
          <w:color w:val="1F3864"/>
          <w:sz w:val="28"/>
          <w:szCs w:val="28"/>
        </w:rPr>
        <w:t xml:space="preserve">2. 데이터 기준 — 무엇을 세고 있는지 먼저 정한다</w:t>
      </w:r>
    </w:p>
    <w:p>
      <w:pPr>
        <w:spacing w:after="140" w:line="288"/>
      </w:pPr>
      <w:r>
        <w:rPr>
          <w:rFonts w:ascii="Malgun Gothic" w:cs="Malgun Gothic" w:eastAsia="Malgun Gothic" w:hAnsi="Malgun Gothic"/>
          <w:sz w:val="19"/>
          <w:szCs w:val="19"/>
        </w:rPr>
        <w:t xml:space="preserve">이 회사의 10년 숫자를 그냥 이어 붙이면 서로 다른 세 회사를 하나로 그린 그림이 됩니다. 삼성바이오에피스가 세 번 성격을 바꿨기 때문입니다.</w:t>
      </w:r>
    </w:p>
    <w:p>
      <w:pPr>
        <w:pStyle w:val="ListParagraph"/>
        <w:numPr>
          <w:ilvl w:val="0"/>
          <w:numId w:val="2"/>
        </w:numPr>
        <w:spacing w:after="120" w:line="284"/>
      </w:pPr>
      <w:r>
        <w:rPr>
          <w:rFonts w:ascii="Malgun Gothic" w:cs="Malgun Gothic" w:eastAsia="Malgun Gothic" w:hAnsi="Malgun Gothic"/>
          <w:b/>
          <w:bCs/>
          <w:sz w:val="19"/>
          <w:szCs w:val="19"/>
        </w:rPr>
        <w:t xml:space="preserve">FY2016~FY2021.</w:t>
      </w:r>
      <w:r>
        <w:rPr>
          <w:rFonts w:ascii="Malgun Gothic" w:cs="Malgun Gothic" w:eastAsia="Malgun Gothic" w:hAnsi="Malgun Gothic"/>
          <w:sz w:val="19"/>
          <w:szCs w:val="19"/>
        </w:rPr>
        <w:t xml:space="preserve"> 에피스는 지분법 적용 합작회사였습니다. 연결 손익에 매출로 들어오지 않고, 지분법손익으로 영업외에 잡혔습니다.</w:t>
      </w:r>
    </w:p>
    <w:p>
      <w:pPr>
        <w:pStyle w:val="ListParagraph"/>
        <w:numPr>
          <w:ilvl w:val="0"/>
          <w:numId w:val="2"/>
        </w:numPr>
        <w:spacing w:after="120" w:line="284"/>
      </w:pPr>
      <w:r>
        <w:rPr>
          <w:rFonts w:ascii="Malgun Gothic" w:cs="Malgun Gothic" w:eastAsia="Malgun Gothic" w:hAnsi="Malgun Gothic"/>
          <w:b/>
          <w:bCs/>
          <w:sz w:val="19"/>
          <w:szCs w:val="19"/>
        </w:rPr>
        <w:t xml:space="preserve">FY2022년 4월 20일.</w:t>
      </w:r>
      <w:r>
        <w:rPr>
          <w:rFonts w:ascii="Malgun Gothic" w:cs="Malgun Gothic" w:eastAsia="Malgun Gothic" w:hAnsi="Malgun Gothic"/>
          <w:sz w:val="19"/>
          <w:szCs w:val="19"/>
        </w:rPr>
        <w:t xml:space="preserve"> 바이오젠 보유 50%−1주를 인수해 100% 자회사가 되었습니다. 이후 연결 매출에 에피스 매출이 합산됩니다.</w:t>
      </w:r>
    </w:p>
    <w:p>
      <w:pPr>
        <w:pStyle w:val="ListParagraph"/>
        <w:numPr>
          <w:ilvl w:val="0"/>
          <w:numId w:val="2"/>
        </w:numPr>
        <w:spacing w:after="120" w:line="284"/>
      </w:pPr>
      <w:r>
        <w:rPr>
          <w:rFonts w:ascii="Malgun Gothic" w:cs="Malgun Gothic" w:eastAsia="Malgun Gothic" w:hAnsi="Malgun Gothic"/>
          <w:b/>
          <w:bCs/>
          <w:sz w:val="19"/>
          <w:szCs w:val="19"/>
        </w:rPr>
        <w:t xml:space="preserve">FY2025년 11월 1일.</w:t>
      </w:r>
      <w:r>
        <w:rPr>
          <w:rFonts w:ascii="Malgun Gothic" w:cs="Malgun Gothic" w:eastAsia="Malgun Gothic" w:hAnsi="Malgun Gothic"/>
          <w:sz w:val="19"/>
          <w:szCs w:val="19"/>
        </w:rPr>
        <w:t xml:space="preserve"> 인적분할로 삼성에피스홀딩스가 분리되었습니다. FY2025 연결 손익에서 에피스는 중단영업으로 빠졌고 (중단영업 매출 1,145십억원, 10개월분), FY2024 비교치도 계속영업 기준으로 재작성되었습니다. 발행주식수는 71,174,000주에서 46,290,951주로 줄었습니다.</w:t>
      </w:r>
    </w:p>
    <w:p>
      <w:pPr>
        <w:pStyle w:val="Heading2"/>
        <w:spacing w:after="120" w:before="300"/>
      </w:pPr>
      <w:r>
        <w:rPr>
          <w:rFonts w:ascii="Malgun Gothic" w:cs="Malgun Gothic" w:eastAsia="Malgun Gothic" w:hAnsi="Malgun Gothic"/>
          <w:b/>
          <w:bCs/>
          <w:color w:val="1F3864"/>
          <w:sz w:val="23"/>
          <w:szCs w:val="23"/>
        </w:rPr>
        <w:t xml:space="preserve">해결 — 회사가 직접 공시하는 별도재무제표</w:t>
      </w:r>
    </w:p>
    <w:p>
      <w:pPr>
        <w:spacing w:after="140" w:line="288"/>
      </w:pPr>
      <w:r>
        <w:rPr>
          <w:rFonts w:ascii="Malgun Gothic" w:cs="Malgun Gothic" w:eastAsia="Malgun Gothic" w:hAnsi="Malgun Gothic"/>
          <w:sz w:val="19"/>
          <w:szCs w:val="19"/>
        </w:rPr>
        <w:t xml:space="preserve">해법은 회사의 별도(別途) 재무제표입니다. 별도제표는 모든 연도에서 CDMO 사업만 담고 있고, 에피스에 판 매출도 제거하지 않고 매출로 표시합니다. 이것이 바로 분할 후 회사가 보고하는 기준과 같습니다. 세 개의 항등식이 이 연결을 증명합니다.</w:t>
      </w:r>
    </w:p>
    <w:tbl>
      <w:tblPr>
        <w:tblW w:type="dxa" w:w="9360"/>
        <w:tblBorders>
          <w:top w:val="single" w:color="BFBFBF" w:sz="2"/>
          <w:left w:val="none"/>
          <w:bottom w:val="single" w:color="BFBFBF" w:sz="2"/>
          <w:right w:val="none"/>
          <w:insideH w:val="single" w:color="D9D9D9" w:sz="1"/>
          <w:insideV w:val="none"/>
        </w:tblBorders>
      </w:tblPr>
      <w:tblGrid>
        <w:gridCol w:w="4255"/>
        <w:gridCol w:w="3191"/>
        <w:gridCol w:w="1915"/>
      </w:tblGrid>
      <w:tr>
        <w:trPr>
          <w:tblHeader/>
        </w:trPr>
        <w:tc>
          <w:tcPr>
            <w:tcW w:type="dxa" w:w="425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검증 항목</w:t>
            </w:r>
          </w:p>
        </w:tc>
        <w:tc>
          <w:tcPr>
            <w:tcW w:type="dxa" w:w="3191"/>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값</w:t>
            </w:r>
          </w:p>
        </w:tc>
        <w:tc>
          <w:tcPr>
            <w:tcW w:type="dxa" w:w="191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판정</w:t>
            </w:r>
          </w:p>
        </w:tc>
      </w:tr>
      <w:tr>
        <w:tc>
          <w:tcPr>
            <w:tcW w:type="dxa" w:w="42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별도 FY2024 매출 = 연결 계속영업 FY2024 매출</w:t>
            </w:r>
          </w:p>
        </w:tc>
        <w:tc>
          <w:tcPr>
            <w:tcW w:type="dxa" w:w="319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3,497,145,675,782원</w:t>
            </w:r>
          </w:p>
        </w:tc>
        <w:tc>
          <w:tcPr>
            <w:tcW w:type="dxa" w:w="191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원 단위까지 일치</w:t>
            </w:r>
          </w:p>
        </w:tc>
      </w:tr>
      <w:tr>
        <w:tc>
          <w:tcPr>
            <w:tcW w:type="dxa" w:w="42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연결 FY2024 매출 = 계속영업 + 중단영업</w:t>
            </w:r>
          </w:p>
        </w:tc>
        <w:tc>
          <w:tcPr>
            <w:tcW w:type="dxa" w:w="319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4,547,322,176,421원</w:t>
            </w:r>
          </w:p>
        </w:tc>
        <w:tc>
          <w:tcPr>
            <w:tcW w:type="dxa" w:w="191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일치</w:t>
            </w:r>
          </w:p>
        </w:tc>
      </w:tr>
      <w:tr>
        <w:tc>
          <w:tcPr>
            <w:tcW w:type="dxa" w:w="42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별도 FY2021 매출 = 연결 FY2021 매출 (에피스 연결 전)</w:t>
            </w:r>
          </w:p>
        </w:tc>
        <w:tc>
          <w:tcPr>
            <w:tcW w:type="dxa" w:w="319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1,568,006,928,039원</w:t>
            </w:r>
          </w:p>
        </w:tc>
        <w:tc>
          <w:tcPr>
            <w:tcW w:type="dxa" w:w="191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일치</w:t>
            </w:r>
          </w:p>
        </w:tc>
      </w:tr>
      <w:tr>
        <w:tc>
          <w:tcPr>
            <w:tcW w:type="dxa" w:w="42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별도 FY2025 매출 = 연결 FY2025 매출 (분할 후 단일사업)</w:t>
            </w:r>
          </w:p>
        </w:tc>
        <w:tc>
          <w:tcPr>
            <w:tcW w:type="dxa" w:w="319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4,556,971,695,180원</w:t>
            </w:r>
          </w:p>
        </w:tc>
        <w:tc>
          <w:tcPr>
            <w:tcW w:type="dxa" w:w="191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일치</w:t>
            </w:r>
          </w:p>
        </w:tc>
      </w:tr>
      <w:tr>
        <w:tc>
          <w:tcPr>
            <w:tcW w:type="dxa" w:w="42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FY2024 CDMO 부문 총매출(내부거래 포함) ≈ 별도 매출</w:t>
            </w:r>
          </w:p>
        </w:tc>
        <w:tc>
          <w:tcPr>
            <w:tcW w:type="dxa" w:w="319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3,512,195,434,962원</w:t>
            </w:r>
          </w:p>
        </w:tc>
        <w:tc>
          <w:tcPr>
            <w:tcW w:type="dxa" w:w="191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0.4% 차이</w:t>
            </w:r>
          </w:p>
        </w:tc>
      </w:tr>
    </w:tbl>
    <w:p>
      <w:pPr>
        <w:spacing w:after="200"/>
      </w:pP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자료는 전부 회사 IR 사이트에 게시된 감사보고서 원본 PDF입니다 (FY2016~FY2025 연간, 2026년 반기 검토보고서). 각 PDF에는 감사인의 감사보고서가 붙어 있습니다. XBRL 태그가 아니라 PDF 텍스트에서 뽑았기 때문에 파싱 오류는 오류가 아니라 그럴듯한 숫자로 나타납니다. 그래서 work/verify_sbl.py에 111건의 정합성·자릿수·기준연결 검증을 두었고 전부 통과합니다. 검증기 자체도 일부러 숫자를 틀리게 넣어 실패하는지 확인했습니다.</w:t>
      </w:r>
    </w:p>
    <w:p>
      <w:pPr>
        <w:pStyle w:val="Heading2"/>
        <w:spacing w:after="120" w:before="300"/>
      </w:pPr>
      <w:r>
        <w:rPr>
          <w:rFonts w:ascii="Malgun Gothic" w:cs="Malgun Gothic" w:eastAsia="Malgun Gothic" w:hAnsi="Malgun Gothic"/>
          <w:b/>
          <w:bCs/>
          <w:color w:val="1F3864"/>
          <w:sz w:val="23"/>
          <w:szCs w:val="23"/>
        </w:rPr>
        <w:t xml:space="preserve">10년 실적 — CDMO 사업 기준</w:t>
      </w:r>
    </w:p>
    <w:tbl>
      <w:tblPr>
        <w:tblW w:type="dxa" w:w="9360"/>
        <w:tblBorders>
          <w:top w:val="single" w:color="BFBFBF" w:sz="2"/>
          <w:left w:val="none"/>
          <w:bottom w:val="single" w:color="BFBFBF" w:sz="2"/>
          <w:right w:val="none"/>
          <w:insideH w:val="single" w:color="D9D9D9" w:sz="1"/>
          <w:insideV w:val="none"/>
        </w:tblBorders>
      </w:tblPr>
      <w:tblGrid>
        <w:gridCol w:w="711"/>
        <w:gridCol w:w="1303"/>
        <w:gridCol w:w="1303"/>
        <w:gridCol w:w="1303"/>
        <w:gridCol w:w="1185"/>
        <w:gridCol w:w="1185"/>
        <w:gridCol w:w="1185"/>
        <w:gridCol w:w="1185"/>
      </w:tblGrid>
      <w:tr>
        <w:trPr>
          <w:tblHeader/>
        </w:trPr>
        <w:tc>
          <w:tcPr>
            <w:tcW w:type="dxa" w:w="711"/>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FY</w:t>
            </w:r>
          </w:p>
        </w:tc>
        <w:tc>
          <w:tcPr>
            <w:tcW w:type="dxa" w:w="1303"/>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매출</w:t>
            </w:r>
          </w:p>
        </w:tc>
        <w:tc>
          <w:tcPr>
            <w:tcW w:type="dxa" w:w="1303"/>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영업이익</w:t>
            </w:r>
          </w:p>
        </w:tc>
        <w:tc>
          <w:tcPr>
            <w:tcW w:type="dxa" w:w="1303"/>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영업이익률</w:t>
            </w:r>
          </w:p>
        </w:tc>
        <w:tc>
          <w:tcPr>
            <w:tcW w:type="dxa" w:w="118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NOPAT</w:t>
            </w:r>
          </w:p>
        </w:tc>
        <w:tc>
          <w:tcPr>
            <w:tcW w:type="dxa" w:w="118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순이익</w:t>
            </w:r>
          </w:p>
        </w:tc>
        <w:tc>
          <w:tcPr>
            <w:tcW w:type="dxa" w:w="118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감가상각</w:t>
            </w:r>
          </w:p>
        </w:tc>
        <w:tc>
          <w:tcPr>
            <w:tcW w:type="dxa" w:w="118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설비투자</w:t>
            </w:r>
          </w:p>
        </w:tc>
      </w:tr>
      <w:tr>
        <w:tc>
          <w:tcPr>
            <w:tcW w:type="dxa" w:w="7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2016</w:t>
            </w:r>
          </w:p>
        </w:tc>
        <w:tc>
          <w:tcPr>
            <w:tcW w:type="dxa" w:w="130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295</w:t>
            </w:r>
          </w:p>
        </w:tc>
        <w:tc>
          <w:tcPr>
            <w:tcW w:type="dxa" w:w="130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w:t>
            </w:r>
          </w:p>
        </w:tc>
        <w:tc>
          <w:tcPr>
            <w:tcW w:type="dxa" w:w="130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-10.3%</w:t>
            </w:r>
          </w:p>
        </w:tc>
        <w:tc>
          <w:tcPr>
            <w:tcW w:type="dxa" w:w="118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w:t>
            </w:r>
          </w:p>
        </w:tc>
        <w:tc>
          <w:tcPr>
            <w:tcW w:type="dxa" w:w="118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-177</w:t>
            </w:r>
          </w:p>
        </w:tc>
        <w:tc>
          <w:tcPr>
            <w:tcW w:type="dxa" w:w="118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60</w:t>
            </w:r>
          </w:p>
        </w:tc>
        <w:tc>
          <w:tcPr>
            <w:tcW w:type="dxa" w:w="118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163</w:t>
            </w:r>
          </w:p>
        </w:tc>
      </w:tr>
      <w:tr>
        <w:tc>
          <w:tcPr>
            <w:tcW w:type="dxa" w:w="7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2017</w:t>
            </w:r>
          </w:p>
        </w:tc>
        <w:tc>
          <w:tcPr>
            <w:tcW w:type="dxa" w:w="130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465</w:t>
            </w:r>
          </w:p>
        </w:tc>
        <w:tc>
          <w:tcPr>
            <w:tcW w:type="dxa" w:w="130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66</w:t>
            </w:r>
          </w:p>
        </w:tc>
        <w:tc>
          <w:tcPr>
            <w:tcW w:type="dxa" w:w="130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14.2%</w:t>
            </w:r>
          </w:p>
        </w:tc>
        <w:tc>
          <w:tcPr>
            <w:tcW w:type="dxa" w:w="118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51</w:t>
            </w:r>
          </w:p>
        </w:tc>
        <w:tc>
          <w:tcPr>
            <w:tcW w:type="dxa" w:w="118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-97</w:t>
            </w:r>
          </w:p>
        </w:tc>
        <w:tc>
          <w:tcPr>
            <w:tcW w:type="dxa" w:w="118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70</w:t>
            </w:r>
          </w:p>
        </w:tc>
        <w:tc>
          <w:tcPr>
            <w:tcW w:type="dxa" w:w="118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494</w:t>
            </w:r>
          </w:p>
        </w:tc>
      </w:tr>
      <w:tr>
        <w:tc>
          <w:tcPr>
            <w:tcW w:type="dxa" w:w="7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2018</w:t>
            </w:r>
          </w:p>
        </w:tc>
        <w:tc>
          <w:tcPr>
            <w:tcW w:type="dxa" w:w="130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536</w:t>
            </w:r>
          </w:p>
        </w:tc>
        <w:tc>
          <w:tcPr>
            <w:tcW w:type="dxa" w:w="130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56</w:t>
            </w:r>
          </w:p>
        </w:tc>
        <w:tc>
          <w:tcPr>
            <w:tcW w:type="dxa" w:w="130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10.4%</w:t>
            </w:r>
          </w:p>
        </w:tc>
        <w:tc>
          <w:tcPr>
            <w:tcW w:type="dxa" w:w="118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41</w:t>
            </w:r>
          </w:p>
        </w:tc>
        <w:tc>
          <w:tcPr>
            <w:tcW w:type="dxa" w:w="118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224</w:t>
            </w:r>
          </w:p>
        </w:tc>
        <w:tc>
          <w:tcPr>
            <w:tcW w:type="dxa" w:w="118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91</w:t>
            </w:r>
          </w:p>
        </w:tc>
        <w:tc>
          <w:tcPr>
            <w:tcW w:type="dxa" w:w="118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348</w:t>
            </w:r>
          </w:p>
        </w:tc>
      </w:tr>
      <w:tr>
        <w:tc>
          <w:tcPr>
            <w:tcW w:type="dxa" w:w="7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2019</w:t>
            </w:r>
          </w:p>
        </w:tc>
        <w:tc>
          <w:tcPr>
            <w:tcW w:type="dxa" w:w="130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702</w:t>
            </w:r>
          </w:p>
        </w:tc>
        <w:tc>
          <w:tcPr>
            <w:tcW w:type="dxa" w:w="130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92</w:t>
            </w:r>
          </w:p>
        </w:tc>
        <w:tc>
          <w:tcPr>
            <w:tcW w:type="dxa" w:w="130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13.1%</w:t>
            </w:r>
          </w:p>
        </w:tc>
        <w:tc>
          <w:tcPr>
            <w:tcW w:type="dxa" w:w="118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72</w:t>
            </w:r>
          </w:p>
        </w:tc>
        <w:tc>
          <w:tcPr>
            <w:tcW w:type="dxa" w:w="118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203</w:t>
            </w:r>
          </w:p>
        </w:tc>
        <w:tc>
          <w:tcPr>
            <w:tcW w:type="dxa" w:w="118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133</w:t>
            </w:r>
          </w:p>
        </w:tc>
        <w:tc>
          <w:tcPr>
            <w:tcW w:type="dxa" w:w="118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172</w:t>
            </w:r>
          </w:p>
        </w:tc>
      </w:tr>
      <w:tr>
        <w:tc>
          <w:tcPr>
            <w:tcW w:type="dxa" w:w="7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2020</w:t>
            </w:r>
          </w:p>
        </w:tc>
        <w:tc>
          <w:tcPr>
            <w:tcW w:type="dxa" w:w="130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1,165</w:t>
            </w:r>
          </w:p>
        </w:tc>
        <w:tc>
          <w:tcPr>
            <w:tcW w:type="dxa" w:w="130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293</w:t>
            </w:r>
          </w:p>
        </w:tc>
        <w:tc>
          <w:tcPr>
            <w:tcW w:type="dxa" w:w="130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25.1%</w:t>
            </w:r>
          </w:p>
        </w:tc>
        <w:tc>
          <w:tcPr>
            <w:tcW w:type="dxa" w:w="118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265</w:t>
            </w:r>
          </w:p>
        </w:tc>
        <w:tc>
          <w:tcPr>
            <w:tcW w:type="dxa" w:w="118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241</w:t>
            </w:r>
          </w:p>
        </w:tc>
        <w:tc>
          <w:tcPr>
            <w:tcW w:type="dxa" w:w="118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143</w:t>
            </w:r>
          </w:p>
        </w:tc>
        <w:tc>
          <w:tcPr>
            <w:tcW w:type="dxa" w:w="118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140</w:t>
            </w:r>
          </w:p>
        </w:tc>
      </w:tr>
      <w:tr>
        <w:tc>
          <w:tcPr>
            <w:tcW w:type="dxa" w:w="7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2021</w:t>
            </w:r>
          </w:p>
        </w:tc>
        <w:tc>
          <w:tcPr>
            <w:tcW w:type="dxa" w:w="130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1,568</w:t>
            </w:r>
          </w:p>
        </w:tc>
        <w:tc>
          <w:tcPr>
            <w:tcW w:type="dxa" w:w="130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537</w:t>
            </w:r>
          </w:p>
        </w:tc>
        <w:tc>
          <w:tcPr>
            <w:tcW w:type="dxa" w:w="130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34.3%</w:t>
            </w:r>
          </w:p>
        </w:tc>
        <w:tc>
          <w:tcPr>
            <w:tcW w:type="dxa" w:w="118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377</w:t>
            </w:r>
          </w:p>
        </w:tc>
        <w:tc>
          <w:tcPr>
            <w:tcW w:type="dxa" w:w="118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394</w:t>
            </w:r>
          </w:p>
        </w:tc>
        <w:tc>
          <w:tcPr>
            <w:tcW w:type="dxa" w:w="118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162</w:t>
            </w:r>
          </w:p>
        </w:tc>
        <w:tc>
          <w:tcPr>
            <w:tcW w:type="dxa" w:w="118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406</w:t>
            </w:r>
          </w:p>
        </w:tc>
      </w:tr>
      <w:tr>
        <w:tc>
          <w:tcPr>
            <w:tcW w:type="dxa" w:w="7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2022</w:t>
            </w:r>
          </w:p>
        </w:tc>
        <w:tc>
          <w:tcPr>
            <w:tcW w:type="dxa" w:w="130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2,437</w:t>
            </w:r>
          </w:p>
        </w:tc>
        <w:tc>
          <w:tcPr>
            <w:tcW w:type="dxa" w:w="130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968</w:t>
            </w:r>
          </w:p>
        </w:tc>
        <w:tc>
          <w:tcPr>
            <w:tcW w:type="dxa" w:w="130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39.7%</w:t>
            </w:r>
          </w:p>
        </w:tc>
        <w:tc>
          <w:tcPr>
            <w:tcW w:type="dxa" w:w="118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720</w:t>
            </w:r>
          </w:p>
        </w:tc>
        <w:tc>
          <w:tcPr>
            <w:tcW w:type="dxa" w:w="118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687</w:t>
            </w:r>
          </w:p>
        </w:tc>
        <w:tc>
          <w:tcPr>
            <w:tcW w:type="dxa" w:w="118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181</w:t>
            </w:r>
          </w:p>
        </w:tc>
        <w:tc>
          <w:tcPr>
            <w:tcW w:type="dxa" w:w="118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948</w:t>
            </w:r>
          </w:p>
        </w:tc>
      </w:tr>
      <w:tr>
        <w:tc>
          <w:tcPr>
            <w:tcW w:type="dxa" w:w="7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2023</w:t>
            </w:r>
          </w:p>
        </w:tc>
        <w:tc>
          <w:tcPr>
            <w:tcW w:type="dxa" w:w="130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2,939</w:t>
            </w:r>
          </w:p>
        </w:tc>
        <w:tc>
          <w:tcPr>
            <w:tcW w:type="dxa" w:w="130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1,204</w:t>
            </w:r>
          </w:p>
        </w:tc>
        <w:tc>
          <w:tcPr>
            <w:tcW w:type="dxa" w:w="130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41.0%</w:t>
            </w:r>
          </w:p>
        </w:tc>
        <w:tc>
          <w:tcPr>
            <w:tcW w:type="dxa" w:w="118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930</w:t>
            </w:r>
          </w:p>
        </w:tc>
        <w:tc>
          <w:tcPr>
            <w:tcW w:type="dxa" w:w="118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946</w:t>
            </w:r>
          </w:p>
        </w:tc>
        <w:tc>
          <w:tcPr>
            <w:tcW w:type="dxa" w:w="118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255</w:t>
            </w:r>
          </w:p>
        </w:tc>
        <w:tc>
          <w:tcPr>
            <w:tcW w:type="dxa" w:w="118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976</w:t>
            </w:r>
          </w:p>
        </w:tc>
      </w:tr>
      <w:tr>
        <w:tc>
          <w:tcPr>
            <w:tcW w:type="dxa" w:w="7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2024</w:t>
            </w:r>
          </w:p>
        </w:tc>
        <w:tc>
          <w:tcPr>
            <w:tcW w:type="dxa" w:w="130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3,497</w:t>
            </w:r>
          </w:p>
        </w:tc>
        <w:tc>
          <w:tcPr>
            <w:tcW w:type="dxa" w:w="130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1,321</w:t>
            </w:r>
          </w:p>
        </w:tc>
        <w:tc>
          <w:tcPr>
            <w:tcW w:type="dxa" w:w="130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37.8%</w:t>
            </w:r>
          </w:p>
        </w:tc>
        <w:tc>
          <w:tcPr>
            <w:tcW w:type="dxa" w:w="118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990</w:t>
            </w:r>
          </w:p>
        </w:tc>
        <w:tc>
          <w:tcPr>
            <w:tcW w:type="dxa" w:w="118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1,051</w:t>
            </w:r>
          </w:p>
        </w:tc>
        <w:tc>
          <w:tcPr>
            <w:tcW w:type="dxa" w:w="118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299</w:t>
            </w:r>
          </w:p>
        </w:tc>
        <w:tc>
          <w:tcPr>
            <w:tcW w:type="dxa" w:w="118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1,297</w:t>
            </w:r>
          </w:p>
        </w:tc>
      </w:tr>
      <w:tr>
        <w:tc>
          <w:tcPr>
            <w:tcW w:type="dxa" w:w="7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2025</w:t>
            </w:r>
          </w:p>
        </w:tc>
        <w:tc>
          <w:tcPr>
            <w:tcW w:type="dxa" w:w="130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4,557</w:t>
            </w:r>
          </w:p>
        </w:tc>
        <w:tc>
          <w:tcPr>
            <w:tcW w:type="dxa" w:w="130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2,068</w:t>
            </w:r>
          </w:p>
        </w:tc>
        <w:tc>
          <w:tcPr>
            <w:tcW w:type="dxa" w:w="130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45.4%</w:t>
            </w:r>
          </w:p>
        </w:tc>
        <w:tc>
          <w:tcPr>
            <w:tcW w:type="dxa" w:w="118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1,578</w:t>
            </w:r>
          </w:p>
        </w:tc>
        <w:tc>
          <w:tcPr>
            <w:tcW w:type="dxa" w:w="118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1,586</w:t>
            </w:r>
          </w:p>
        </w:tc>
        <w:tc>
          <w:tcPr>
            <w:tcW w:type="dxa" w:w="118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369</w:t>
            </w:r>
          </w:p>
        </w:tc>
        <w:tc>
          <w:tcPr>
            <w:tcW w:type="dxa" w:w="118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1,376</w:t>
            </w:r>
          </w:p>
        </w:tc>
      </w:tr>
    </w:tbl>
    <w:p>
      <w:pPr>
        <w:spacing w:after="200"/>
      </w:pP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단위: 십억원. 매출은 FY2016 2,946억원에서 FY2025 4조 5,570억원으로 9년간 연 35.6% 복리로 늘었습니다. FY2020→FY2025 5년 CAGR은 31.4%, FY2022→FY2025 3년 CAGR은 23.2%입니다.</w:t>
      </w:r>
    </w:p>
    <w:p>
      <w:pPr>
        <w:pStyle w:val="Heading1"/>
        <w:spacing w:after="160" w:before="400"/>
      </w:pPr>
      <w:r>
        <w:rPr>
          <w:rFonts w:ascii="Malgun Gothic" w:cs="Malgun Gothic" w:eastAsia="Malgun Gothic" w:hAnsi="Malgun Gothic"/>
          <w:b/>
          <w:bCs/>
          <w:color w:val="1F3864"/>
          <w:sz w:val="28"/>
          <w:szCs w:val="28"/>
        </w:rPr>
        <w:t xml:space="preserve">3. 기준 1 — 이해할 수 있는 사업인가</w:t>
      </w:r>
    </w:p>
    <w:p>
      <w:pPr>
        <w:spacing w:after="140" w:line="288"/>
      </w:pPr>
      <w:r>
        <w:rPr>
          <w:rFonts w:ascii="Malgun Gothic" w:cs="Malgun Gothic" w:eastAsia="Malgun Gothic" w:hAnsi="Malgun Gothic"/>
          <w:sz w:val="19"/>
          <w:szCs w:val="19"/>
        </w:rPr>
        <w:t xml:space="preserve">통과합니다. 삼성바이오로직스는 바이오의약품 위탁개발생산(CDMO) 회사입니다. 제약사가 개발한 항체 의약품을 자기 공장에서 대신 만들어 배치 단위로 넘기고 대금을 받습니다. 분할 후 보고부문은 CDMO 하나뿐입니다.</w:t>
      </w:r>
    </w:p>
    <w:p>
      <w:pPr>
        <w:spacing w:after="140" w:line="288"/>
      </w:pPr>
      <w:r>
        <w:rPr>
          <w:rFonts w:ascii="Malgun Gothic" w:cs="Malgun Gothic" w:eastAsia="Malgun Gothic" w:hAnsi="Malgun Gothic"/>
          <w:sz w:val="19"/>
          <w:szCs w:val="19"/>
        </w:rPr>
        <w:t xml:space="preserve">수익 인식은 감사인이 핵심감사사항으로 지정한 항목이기도 합니다. FY2025 감사보고서는 'CMO 배치 매출의 수익 인식 시점 절단(cut-off)의 적정성'을 핵심감사사항으로 적었습니다. 즉 매출의 성격 자체는 단순하지만 어느 기(期)에 넣을지가 판단 사항이라는 뜻입니다. 이 점은 기준 6에서 다시 다룹니다.</w:t>
      </w:r>
    </w:p>
    <w:p>
      <w:pPr>
        <w:spacing w:after="140" w:line="288"/>
      </w:pPr>
      <w:r>
        <w:rPr>
          <w:rFonts w:ascii="Malgun Gothic" w:cs="Malgun Gothic" w:eastAsia="Malgun Gothic" w:hAnsi="Malgun Gothic"/>
          <w:sz w:val="19"/>
          <w:szCs w:val="19"/>
        </w:rPr>
        <w:t xml:space="preserve">지역별로는 FY2025 매출 4.56조원 중 유럽 2.37조원, 미국 1.73조원, 국내 0.37조원입니다. 해외 비중 91.8%. 매출은 달러·유로로 받고 원가는 대부분 원화로 치르는 구조이며, 이것이 기준 7에서 결정적인 변수가 됩니다.</w:t>
      </w:r>
    </w:p>
    <w:p>
      <w:pPr>
        <w:pStyle w:val="Heading1"/>
        <w:spacing w:after="160" w:before="400"/>
      </w:pPr>
      <w:r>
        <w:rPr>
          <w:rFonts w:ascii="Malgun Gothic" w:cs="Malgun Gothic" w:eastAsia="Malgun Gothic" w:hAnsi="Malgun Gothic"/>
          <w:b/>
          <w:bCs/>
          <w:color w:val="1F3864"/>
          <w:sz w:val="28"/>
          <w:szCs w:val="28"/>
        </w:rPr>
        <w:t xml:space="preserve">4. 기준 2 — 기존 자본의 수익률이 자본비용을 넘는가</w:t>
      </w:r>
    </w:p>
    <w:p>
      <w:pPr>
        <w:pStyle w:val="Heading2"/>
        <w:spacing w:after="120" w:before="300"/>
      </w:pPr>
      <w:r>
        <w:rPr>
          <w:rFonts w:ascii="Malgun Gothic" w:cs="Malgun Gothic" w:eastAsia="Malgun Gothic" w:hAnsi="Malgun Gothic"/>
          <w:b/>
          <w:bCs/>
          <w:color w:val="1F3864"/>
          <w:sz w:val="23"/>
          <w:szCs w:val="23"/>
        </w:rPr>
        <w:t xml:space="preserve">먼저 분모를 정한다</w:t>
      </w:r>
    </w:p>
    <w:p>
      <w:pPr>
        <w:spacing w:after="140" w:line="288"/>
      </w:pPr>
      <w:r>
        <w:rPr>
          <w:rFonts w:ascii="Malgun Gothic" w:cs="Malgun Gothic" w:eastAsia="Malgun Gothic" w:hAnsi="Malgun Gothic"/>
          <w:sz w:val="19"/>
          <w:szCs w:val="19"/>
        </w:rPr>
        <w:t xml:space="preserve">투하자본을 어떻게 세느냐가 이 회사에서는 결론을 바꿉니다. 세 가지 방식을 모두 계산했고, 고른 이유와 버린 이유를 함께 적습니다.</w:t>
      </w:r>
    </w:p>
    <w:p>
      <w:pPr>
        <w:pStyle w:val="ListParagraph"/>
        <w:numPr>
          <w:ilvl w:val="0"/>
          <w:numId w:val="2"/>
        </w:numPr>
        <w:spacing w:after="120" w:line="284"/>
      </w:pPr>
      <w:r>
        <w:rPr>
          <w:rFonts w:ascii="Malgun Gothic" w:cs="Malgun Gothic" w:eastAsia="Malgun Gothic" w:hAnsi="Malgun Gothic"/>
          <w:b/>
          <w:bCs/>
          <w:sz w:val="19"/>
          <w:szCs w:val="19"/>
        </w:rPr>
        <w:t xml:space="preserve">하향식 (자기자본 + 이자부부채 + 리스부채 − 현금성자산 − 타회사 투자).</w:t>
      </w:r>
      <w:r>
        <w:rPr>
          <w:rFonts w:ascii="Malgun Gothic" w:cs="Malgun Gothic" w:eastAsia="Malgun Gothic" w:hAnsi="Malgun Gothic"/>
          <w:sz w:val="19"/>
          <w:szCs w:val="19"/>
        </w:rPr>
        <w:t xml:space="preserve"> 52개 기업 분석에서 쓴 방식입니다. 이 회사에서는 두 번 깨집니다. 에피스 지분이 FY2021까지 대차대조표를 지배해 FY2017 하향식 투하자본은 음수(−1조 8,140억원)로 나오고, 2025년 분할이 자기자본을 1조 8,650억원 줄였는데 그 감소는 위탁생산 사업과 아무 관계가 없습니다.</w:t>
      </w:r>
    </w:p>
    <w:p>
      <w:pPr>
        <w:pStyle w:val="ListParagraph"/>
        <w:numPr>
          <w:ilvl w:val="0"/>
          <w:numId w:val="2"/>
        </w:numPr>
        <w:spacing w:after="120" w:line="284"/>
      </w:pPr>
      <w:r>
        <w:rPr>
          <w:rFonts w:ascii="Malgun Gothic" w:cs="Malgun Gothic" w:eastAsia="Malgun Gothic" w:hAnsi="Malgun Gothic"/>
          <w:b/>
          <w:bCs/>
          <w:sz w:val="19"/>
          <w:szCs w:val="19"/>
        </w:rPr>
        <w:t xml:space="preserve">상향식 영업자본 (영업자산 − 영업부채).</w:t>
      </w:r>
      <w:r>
        <w:rPr>
          <w:rFonts w:ascii="Malgun Gothic" w:cs="Malgun Gothic" w:eastAsia="Malgun Gothic" w:hAnsi="Malgun Gothic"/>
          <w:sz w:val="19"/>
          <w:szCs w:val="19"/>
        </w:rPr>
        <w:t xml:space="preserve"> 지주회사 성격의 잡음과 분할에 모두 영향받지 않습니다. 이것을 씁니다.</w:t>
      </w:r>
    </w:p>
    <w:p>
      <w:pPr>
        <w:pStyle w:val="ListParagraph"/>
        <w:numPr>
          <w:ilvl w:val="0"/>
          <w:numId w:val="2"/>
        </w:numPr>
        <w:spacing w:after="120" w:line="284"/>
      </w:pPr>
      <w:r>
        <w:rPr>
          <w:rFonts w:ascii="Malgun Gothic" w:cs="Malgun Gothic" w:eastAsia="Malgun Gothic" w:hAnsi="Malgun Gothic"/>
          <w:b/>
          <w:bCs/>
          <w:sz w:val="19"/>
          <w:szCs w:val="19"/>
        </w:rPr>
        <w:t xml:space="preserve">상향식에서 매입채무를 차감하지 않은 것.</w:t>
      </w:r>
      <w:r>
        <w:rPr>
          <w:rFonts w:ascii="Malgun Gothic" w:cs="Malgun Gothic" w:eastAsia="Malgun Gothic" w:hAnsi="Malgun Gothic"/>
          <w:sz w:val="19"/>
          <w:szCs w:val="19"/>
        </w:rPr>
        <w:t xml:space="preserve"> 이 회사 매입채무에는 공사대금이 섞여 있습니다(FY2022 1조 6,290억원). 공사대금은 운전자본이 아니라 공장을 조달한 돈이므로, 이를 차감하면 건설 연도의 수익률이 부풀려집니다. 증분 ROIC은 이 기준으로 계산했습니다.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선택이 결론을 만들지 않았다는 증거는 두 방식이 FY2018 이후 서로 -16%~11% 범위에서 같이 움직인다는 점입니다 (예: FY2024 하향식 6,623십억원, 상향식 5,991십억원). FY2016·FY2017만 크게 벌어지는데, 그 두 해의 하향식 투하자본은 에피스 지분 때문에 음수가 나오므로 애초에 쓸 수 없는 값입니다.</w:t>
      </w:r>
    </w:p>
    <w:p>
      <w:pPr>
        <w:pStyle w:val="Heading2"/>
        <w:spacing w:after="120" w:before="300"/>
      </w:pPr>
      <w:r>
        <w:rPr>
          <w:rFonts w:ascii="Malgun Gothic" w:cs="Malgun Gothic" w:eastAsia="Malgun Gothic" w:hAnsi="Malgun Gothic"/>
          <w:b/>
          <w:bCs/>
          <w:color w:val="1F3864"/>
          <w:sz w:val="23"/>
          <w:szCs w:val="23"/>
        </w:rPr>
        <w:t xml:space="preserve">그리고 건설중자산을 빼야 한다</w:t>
      </w:r>
    </w:p>
    <w:p>
      <w:pPr>
        <w:spacing w:after="140" w:line="288"/>
      </w:pPr>
      <w:r>
        <w:rPr>
          <w:rFonts w:ascii="Malgun Gothic" w:cs="Malgun Gothic" w:eastAsia="Malgun Gothic" w:hAnsi="Malgun Gothic"/>
          <w:sz w:val="19"/>
          <w:szCs w:val="19"/>
        </w:rPr>
        <w:t xml:space="preserve">이것이 이 회사에서 가장 중요한 보정입니다. FY2024 말 영업자본 5,991십억원 가운데 1,823십억원 — 30% — 이 아직 완공되지 않아 한 푼도 벌지 못하는 공장이었습니다. FY2025에 2조 1,829억원이 건설중자산에서 가동자산으로 이전되었습니다. 이것을 빼지 않으면 FY2024가 수익률이 무너진 해로 읽히는데, 실제로는 아무것도 무너지지 않았습니다.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알파벳 2차 검토에서 '아직 가동되지 않은 자산'에 적용한 것과 같은 보정입니다.</w:t>
      </w:r>
    </w:p>
    <w:tbl>
      <w:tblPr>
        <w:tblW w:type="dxa" w:w="9360"/>
        <w:tblBorders>
          <w:top w:val="single" w:color="BFBFBF" w:sz="2"/>
          <w:left w:val="none"/>
          <w:bottom w:val="single" w:color="BFBFBF" w:sz="2"/>
          <w:right w:val="none"/>
          <w:insideH w:val="single" w:color="D9D9D9" w:sz="1"/>
          <w:insideV w:val="none"/>
        </w:tblBorders>
      </w:tblPr>
      <w:tblGrid>
        <w:gridCol w:w="677"/>
        <w:gridCol w:w="1579"/>
        <w:gridCol w:w="1466"/>
        <w:gridCol w:w="2030"/>
        <w:gridCol w:w="2030"/>
        <w:gridCol w:w="1579"/>
      </w:tblGrid>
      <w:tr>
        <w:trPr>
          <w:tblHeader/>
        </w:trPr>
        <w:tc>
          <w:tcPr>
            <w:tcW w:type="dxa" w:w="677"/>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FY</w:t>
            </w:r>
          </w:p>
        </w:tc>
        <w:tc>
          <w:tcPr>
            <w:tcW w:type="dxa" w:w="157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영업자본</w:t>
            </w:r>
          </w:p>
        </w:tc>
        <w:tc>
          <w:tcPr>
            <w:tcW w:type="dxa" w:w="146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건설중자산</w:t>
            </w:r>
          </w:p>
        </w:tc>
        <w:tc>
          <w:tcPr>
            <w:tcW w:type="dxa" w:w="203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ROIC (건설중 포함)</w:t>
            </w:r>
          </w:p>
        </w:tc>
        <w:tc>
          <w:tcPr>
            <w:tcW w:type="dxa" w:w="203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ROIC (건설중 제외)</w:t>
            </w:r>
          </w:p>
        </w:tc>
        <w:tc>
          <w:tcPr>
            <w:tcW w:type="dxa" w:w="157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하향식 ROIC</w:t>
            </w:r>
          </w:p>
        </w:tc>
      </w:tr>
      <w:tr>
        <w:tc>
          <w:tcPr>
            <w:tcW w:type="dxa" w:w="677"/>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2016</w:t>
            </w:r>
          </w:p>
        </w:tc>
        <w:tc>
          <w:tcPr>
            <w:tcW w:type="dxa" w:w="157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1,146</w:t>
            </w:r>
          </w:p>
        </w:tc>
        <w:tc>
          <w:tcPr>
            <w:tcW w:type="dxa" w:w="146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233</w:t>
            </w:r>
          </w:p>
        </w:tc>
        <w:tc>
          <w:tcPr>
            <w:tcW w:type="dxa" w:w="203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-2.1%</w:t>
            </w:r>
          </w:p>
        </w:tc>
        <w:tc>
          <w:tcPr>
            <w:tcW w:type="dxa" w:w="203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-2.6%</w:t>
            </w:r>
          </w:p>
        </w:tc>
        <w:tc>
          <w:tcPr>
            <w:tcW w:type="dxa" w:w="157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w:t>
            </w:r>
          </w:p>
        </w:tc>
      </w:tr>
      <w:tr>
        <w:tc>
          <w:tcPr>
            <w:tcW w:type="dxa" w:w="677"/>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2017</w:t>
            </w:r>
          </w:p>
        </w:tc>
        <w:tc>
          <w:tcPr>
            <w:tcW w:type="dxa" w:w="157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1,553</w:t>
            </w:r>
          </w:p>
        </w:tc>
        <w:tc>
          <w:tcPr>
            <w:tcW w:type="dxa" w:w="146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309</w:t>
            </w:r>
          </w:p>
        </w:tc>
        <w:tc>
          <w:tcPr>
            <w:tcW w:type="dxa" w:w="203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3.3%</w:t>
            </w:r>
          </w:p>
        </w:tc>
        <w:tc>
          <w:tcPr>
            <w:tcW w:type="dxa" w:w="203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4.1%</w:t>
            </w:r>
          </w:p>
        </w:tc>
        <w:tc>
          <w:tcPr>
            <w:tcW w:type="dxa" w:w="157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w:t>
            </w:r>
          </w:p>
        </w:tc>
      </w:tr>
      <w:tr>
        <w:tc>
          <w:tcPr>
            <w:tcW w:type="dxa" w:w="677"/>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2018</w:t>
            </w:r>
          </w:p>
        </w:tc>
        <w:tc>
          <w:tcPr>
            <w:tcW w:type="dxa" w:w="157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1,899</w:t>
            </w:r>
          </w:p>
        </w:tc>
        <w:tc>
          <w:tcPr>
            <w:tcW w:type="dxa" w:w="146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57</w:t>
            </w:r>
          </w:p>
        </w:tc>
        <w:tc>
          <w:tcPr>
            <w:tcW w:type="dxa" w:w="203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w:t>
            </w:r>
          </w:p>
        </w:tc>
        <w:tc>
          <w:tcPr>
            <w:tcW w:type="dxa" w:w="203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w:t>
            </w:r>
          </w:p>
        </w:tc>
        <w:tc>
          <w:tcPr>
            <w:tcW w:type="dxa" w:w="157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w:t>
            </w:r>
          </w:p>
        </w:tc>
      </w:tr>
      <w:tr>
        <w:tc>
          <w:tcPr>
            <w:tcW w:type="dxa" w:w="677"/>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2019</w:t>
            </w:r>
          </w:p>
        </w:tc>
        <w:tc>
          <w:tcPr>
            <w:tcW w:type="dxa" w:w="157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2,141</w:t>
            </w:r>
          </w:p>
        </w:tc>
        <w:tc>
          <w:tcPr>
            <w:tcW w:type="dxa" w:w="146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37</w:t>
            </w:r>
          </w:p>
        </w:tc>
        <w:tc>
          <w:tcPr>
            <w:tcW w:type="dxa" w:w="203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3.3%</w:t>
            </w:r>
          </w:p>
        </w:tc>
        <w:tc>
          <w:tcPr>
            <w:tcW w:type="dxa" w:w="203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w:t>
            </w:r>
          </w:p>
        </w:tc>
        <w:tc>
          <w:tcPr>
            <w:tcW w:type="dxa" w:w="157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3.7%</w:t>
            </w:r>
          </w:p>
        </w:tc>
      </w:tr>
      <w:tr>
        <w:tc>
          <w:tcPr>
            <w:tcW w:type="dxa" w:w="677"/>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2020</w:t>
            </w:r>
          </w:p>
        </w:tc>
        <w:tc>
          <w:tcPr>
            <w:tcW w:type="dxa" w:w="157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2,303</w:t>
            </w:r>
          </w:p>
        </w:tc>
        <w:tc>
          <w:tcPr>
            <w:tcW w:type="dxa" w:w="146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105</w:t>
            </w:r>
          </w:p>
        </w:tc>
        <w:tc>
          <w:tcPr>
            <w:tcW w:type="dxa" w:w="203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11.5%</w:t>
            </w:r>
          </w:p>
        </w:tc>
        <w:tc>
          <w:tcPr>
            <w:tcW w:type="dxa" w:w="203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12.1%</w:t>
            </w:r>
          </w:p>
        </w:tc>
        <w:tc>
          <w:tcPr>
            <w:tcW w:type="dxa" w:w="157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11.0%</w:t>
            </w:r>
          </w:p>
        </w:tc>
      </w:tr>
      <w:tr>
        <w:tc>
          <w:tcPr>
            <w:tcW w:type="dxa" w:w="677"/>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2021</w:t>
            </w:r>
          </w:p>
        </w:tc>
        <w:tc>
          <w:tcPr>
            <w:tcW w:type="dxa" w:w="157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2,843</w:t>
            </w:r>
          </w:p>
        </w:tc>
        <w:tc>
          <w:tcPr>
            <w:tcW w:type="dxa" w:w="146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583</w:t>
            </w:r>
          </w:p>
        </w:tc>
        <w:tc>
          <w:tcPr>
            <w:tcW w:type="dxa" w:w="203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13.3%</w:t>
            </w:r>
          </w:p>
        </w:tc>
        <w:tc>
          <w:tcPr>
            <w:tcW w:type="dxa" w:w="203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16.7%</w:t>
            </w:r>
          </w:p>
        </w:tc>
        <w:tc>
          <w:tcPr>
            <w:tcW w:type="dxa" w:w="157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12.1%</w:t>
            </w:r>
          </w:p>
        </w:tc>
      </w:tr>
      <w:tr>
        <w:tc>
          <w:tcPr>
            <w:tcW w:type="dxa" w:w="677"/>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2022</w:t>
            </w:r>
          </w:p>
        </w:tc>
        <w:tc>
          <w:tcPr>
            <w:tcW w:type="dxa" w:w="157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3,257</w:t>
            </w:r>
          </w:p>
        </w:tc>
        <w:tc>
          <w:tcPr>
            <w:tcW w:type="dxa" w:w="146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816</w:t>
            </w:r>
          </w:p>
        </w:tc>
        <w:tc>
          <w:tcPr>
            <w:tcW w:type="dxa" w:w="203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22.1%</w:t>
            </w:r>
          </w:p>
        </w:tc>
        <w:tc>
          <w:tcPr>
            <w:tcW w:type="dxa" w:w="203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29.5%</w:t>
            </w:r>
          </w:p>
        </w:tc>
        <w:tc>
          <w:tcPr>
            <w:tcW w:type="dxa" w:w="157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26.4%</w:t>
            </w:r>
          </w:p>
        </w:tc>
      </w:tr>
      <w:tr>
        <w:tc>
          <w:tcPr>
            <w:tcW w:type="dxa" w:w="677"/>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2023</w:t>
            </w:r>
          </w:p>
        </w:tc>
        <w:tc>
          <w:tcPr>
            <w:tcW w:type="dxa" w:w="157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4,349</w:t>
            </w:r>
          </w:p>
        </w:tc>
        <w:tc>
          <w:tcPr>
            <w:tcW w:type="dxa" w:w="146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192</w:t>
            </w:r>
          </w:p>
        </w:tc>
        <w:tc>
          <w:tcPr>
            <w:tcW w:type="dxa" w:w="203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21.4%</w:t>
            </w:r>
          </w:p>
        </w:tc>
        <w:tc>
          <w:tcPr>
            <w:tcW w:type="dxa" w:w="203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22.4%</w:t>
            </w:r>
          </w:p>
        </w:tc>
        <w:tc>
          <w:tcPr>
            <w:tcW w:type="dxa" w:w="157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21.9%</w:t>
            </w:r>
          </w:p>
        </w:tc>
      </w:tr>
      <w:tr>
        <w:tc>
          <w:tcPr>
            <w:tcW w:type="dxa" w:w="677"/>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2024</w:t>
            </w:r>
          </w:p>
        </w:tc>
        <w:tc>
          <w:tcPr>
            <w:tcW w:type="dxa" w:w="157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5,991</w:t>
            </w:r>
          </w:p>
        </w:tc>
        <w:tc>
          <w:tcPr>
            <w:tcW w:type="dxa" w:w="146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1,823</w:t>
            </w:r>
          </w:p>
        </w:tc>
        <w:tc>
          <w:tcPr>
            <w:tcW w:type="dxa" w:w="203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16.5%</w:t>
            </w:r>
          </w:p>
        </w:tc>
        <w:tc>
          <w:tcPr>
            <w:tcW w:type="dxa" w:w="203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23.8%</w:t>
            </w:r>
          </w:p>
        </w:tc>
        <w:tc>
          <w:tcPr>
            <w:tcW w:type="dxa" w:w="157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15.0%</w:t>
            </w:r>
          </w:p>
        </w:tc>
      </w:tr>
      <w:tr>
        <w:tc>
          <w:tcPr>
            <w:tcW w:type="dxa" w:w="677"/>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2025</w:t>
            </w:r>
          </w:p>
        </w:tc>
        <w:tc>
          <w:tcPr>
            <w:tcW w:type="dxa" w:w="157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7,086</w:t>
            </w:r>
          </w:p>
        </w:tc>
        <w:tc>
          <w:tcPr>
            <w:tcW w:type="dxa" w:w="146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430</w:t>
            </w:r>
          </w:p>
        </w:tc>
        <w:tc>
          <w:tcPr>
            <w:tcW w:type="dxa" w:w="203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22.3%</w:t>
            </w:r>
          </w:p>
        </w:tc>
        <w:tc>
          <w:tcPr>
            <w:tcW w:type="dxa" w:w="203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23.7%</w:t>
            </w:r>
          </w:p>
        </w:tc>
        <w:tc>
          <w:tcPr>
            <w:tcW w:type="dxa" w:w="157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23.0%</w:t>
            </w:r>
          </w:p>
        </w:tc>
      </w:tr>
    </w:tbl>
    <w:p>
      <w:pPr>
        <w:spacing w:after="200"/>
      </w:pPr>
    </w:p>
    <w:p>
      <w:pPr>
        <w:spacing w:after="140" w:line="288"/>
      </w:pPr>
      <w:r>
        <w:rPr>
          <w:rFonts w:ascii="Malgun Gothic" w:cs="Malgun Gothic" w:eastAsia="Malgun Gothic" w:hAnsi="Malgun Gothic"/>
          <w:sz w:val="19"/>
          <w:szCs w:val="19"/>
        </w:rPr>
        <w:t xml:space="preserve">건설중자산을 뺀 ROIC은 FY2022 이후 29.5% → 22.4% → 23.8% → 23.7%로 4년 내내 22%를 넘습니다. 자본비용 참고 범위는 9.0%~13.0%입니다 (한국 10년물 4.18%, 베타 0.9~1.2, 주식위험프리미엄 5.5~7.5%). </w:t>
      </w:r>
      <w:r>
        <w:rPr>
          <w:rFonts w:ascii="Malgun Gothic" w:cs="Malgun Gothic" w:eastAsia="Malgun Gothic" w:hAnsi="Malgun Gothic"/>
          <w:b/>
          <w:bCs/>
          <w:sz w:val="19"/>
          <w:szCs w:val="19"/>
        </w:rPr>
        <w:t xml:space="preserve">기준 2는 명확히 통과합니다.</w:t>
      </w:r>
    </w:p>
    <w:p>
      <w:pPr>
        <w:pStyle w:val="Heading2"/>
        <w:spacing w:after="120" w:before="300"/>
      </w:pPr>
      <w:r>
        <w:rPr>
          <w:rFonts w:ascii="Malgun Gothic" w:cs="Malgun Gothic" w:eastAsia="Malgun Gothic" w:hAnsi="Malgun Gothic"/>
          <w:b/>
          <w:bCs/>
          <w:color w:val="1F3864"/>
          <w:sz w:val="23"/>
          <w:szCs w:val="23"/>
        </w:rPr>
        <w:t xml:space="preserve">FY2025 영업이익률 45.4%는 진짜인가</w:t>
      </w:r>
    </w:p>
    <w:p>
      <w:pPr>
        <w:spacing w:after="140" w:line="288"/>
      </w:pPr>
      <w:r>
        <w:rPr>
          <w:rFonts w:ascii="Malgun Gothic" w:cs="Malgun Gothic" w:eastAsia="Malgun Gothic" w:hAnsi="Malgun Gothic"/>
          <w:sz w:val="19"/>
          <w:szCs w:val="19"/>
        </w:rPr>
        <w:t xml:space="preserve">FY2024 37.8%에서 FY2025 45.4%로 7.6포인트 올랐습니다. 위탁생산업으로서는 이례적인 수준이므로 환율 탓인지 따로 떼어봤습니다.</w:t>
      </w:r>
    </w:p>
    <w:p>
      <w:pPr>
        <w:spacing w:after="140" w:line="288"/>
      </w:pPr>
      <w:r>
        <w:rPr>
          <w:rFonts w:ascii="Malgun Gothic" w:cs="Malgun Gothic" w:eastAsia="Malgun Gothic" w:hAnsi="Malgun Gothic"/>
          <w:sz w:val="19"/>
          <w:szCs w:val="19"/>
        </w:rPr>
        <w:t xml:space="preserve">FY2025 손익을 FY2024 평균환율(1,363.4원)로 환산하면 영업이익률은 44.0%입니다. 즉 환율 기여는 +1.4포인트(19%), 영업 개선 기여는 +6.2포인트입니다. 마진 상승의 대부분은 5공장 가동에 따른 가동률 상승과 고정비 레버리지이며, 환율 효과가 아닙니다.</w:t>
      </w:r>
    </w:p>
    <w:p>
      <w:pPr>
        <w:spacing w:after="140" w:line="288"/>
      </w:pPr>
      <w:r>
        <w:rPr>
          <w:rFonts w:ascii="Malgun Gothic" w:cs="Malgun Gothic" w:eastAsia="Malgun Gothic" w:hAnsi="Malgun Gothic"/>
          <w:sz w:val="19"/>
          <w:szCs w:val="19"/>
        </w:rPr>
        <w:t xml:space="preserve">2026년 상반기 실적이 이를 뒷받침합니다. 매출 2.58조원 (전년 동기 2.01조원, +28.0%), 영업이익 1.17조원, 영업이익률 45.3%. FY2025의 마진은 한 해의 사건이 아니라 새 수준입니다.</w:t>
      </w:r>
    </w:p>
    <w:p>
      <w:pPr>
        <w:pStyle w:val="Heading1"/>
        <w:spacing w:after="160" w:before="400"/>
      </w:pPr>
      <w:r>
        <w:rPr>
          <w:rFonts w:ascii="Malgun Gothic" w:cs="Malgun Gothic" w:eastAsia="Malgun Gothic" w:hAnsi="Malgun Gothic"/>
          <w:b/>
          <w:bCs/>
          <w:color w:val="1F3864"/>
          <w:sz w:val="28"/>
          <w:szCs w:val="28"/>
        </w:rPr>
        <w:t xml:space="preserve">5. 기준 3 — 해자가 지속되는가</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"정말로 훌륭한 사업이라면 지속적으로 뛰어난 이익을 내기 위해 성 주변에 지속가능한 '해자'가 있어야 합니다. … 우리는 성의 해자가 넓고 영구적일 것이라고 믿는 사업을 찾습니다."</w:t>
      </w:r>
    </w:p>
    <w:p>
      <w:pPr>
        <w:spacing w:after="200"/>
        <w:ind w:left="360"/>
        <w:jc w:val="right"/>
      </w:pPr>
      <w:r>
        <w:rPr>
          <w:rFonts w:ascii="Malgun Gothic" w:cs="Malgun Gothic" w:eastAsia="Malgun Gothic" w:hAnsi="Malgun Gothic"/>
          <w:color w:val="595959"/>
          <w:sz w:val="16"/>
          <w:szCs w:val="16"/>
        </w:rPr>
        <w:t xml:space="preserve">— 2007년 버크셔 해서웨이 주주서한</w:t>
      </w:r>
    </w:p>
    <w:p>
      <w:pPr>
        <w:pStyle w:val="Heading2"/>
        <w:spacing w:after="120" w:before="300"/>
      </w:pPr>
      <w:r>
        <w:rPr>
          <w:rFonts w:ascii="Malgun Gothic" w:cs="Malgun Gothic" w:eastAsia="Malgun Gothic" w:hAnsi="Malgun Gothic"/>
          <w:b/>
          <w:bCs/>
          <w:color w:val="1F3864"/>
          <w:sz w:val="23"/>
          <w:szCs w:val="23"/>
        </w:rPr>
        <w:t xml:space="preserve">해자가 있다는 근거</w:t>
      </w:r>
    </w:p>
    <w:p>
      <w:pPr>
        <w:pStyle w:val="ListParagraph"/>
        <w:numPr>
          <w:ilvl w:val="0"/>
          <w:numId w:val="2"/>
        </w:numPr>
        <w:spacing w:after="120" w:line="284"/>
      </w:pPr>
      <w:r>
        <w:rPr>
          <w:rFonts w:ascii="Malgun Gothic" w:cs="Malgun Gothic" w:eastAsia="Malgun Gothic" w:hAnsi="Malgun Gothic"/>
          <w:b/>
          <w:bCs/>
          <w:sz w:val="19"/>
          <w:szCs w:val="19"/>
        </w:rPr>
        <w:t xml:space="preserve">규제에 묶인 전환비용.</w:t>
      </w:r>
      <w:r>
        <w:rPr>
          <w:rFonts w:ascii="Malgun Gothic" w:cs="Malgun Gothic" w:eastAsia="Malgun Gothic" w:hAnsi="Malgun Gothic"/>
          <w:sz w:val="19"/>
          <w:szCs w:val="19"/>
        </w:rPr>
        <w:t xml:space="preserve"> 바이오의약품의 제조소는 허가의 일부입니다. 고객이 위탁처를 바꾸려면 기술이전, 비교동등성 시험, 규제기관 변경허가를 다시 거쳐야 합니다. 이것이 CDMO 계약이 장기화되는 구조적 이유입니다.</w:t>
      </w:r>
    </w:p>
    <w:p>
      <w:pPr>
        <w:pStyle w:val="ListParagraph"/>
        <w:numPr>
          <w:ilvl w:val="0"/>
          <w:numId w:val="2"/>
        </w:numPr>
        <w:spacing w:after="120" w:line="284"/>
      </w:pPr>
      <w:r>
        <w:rPr>
          <w:rFonts w:ascii="Malgun Gothic" w:cs="Malgun Gothic" w:eastAsia="Malgun Gothic" w:hAnsi="Malgun Gothic"/>
          <w:b/>
          <w:bCs/>
          <w:sz w:val="19"/>
          <w:szCs w:val="19"/>
        </w:rPr>
        <w:t xml:space="preserve">고객이 먼저 돈을 낸다.</w:t>
      </w:r>
      <w:r>
        <w:rPr>
          <w:rFonts w:ascii="Malgun Gothic" w:cs="Malgun Gothic" w:eastAsia="Malgun Gothic" w:hAnsi="Malgun Gothic"/>
          <w:sz w:val="19"/>
          <w:szCs w:val="19"/>
        </w:rPr>
        <w:t xml:space="preserve"> FY2025 말 선수금 1.27조원, 계약부채 0.54조원, 합계 1.80조원입니다. 연매출의 39.6%, 영업자본의 25.3%에 해당하는 고객 자금을 일이 끝나기 전에 받아 무이자로 쓰고 있습니다. 버핏이 보험업에서 중시한 플로트와 같은 성격이며, 협상력의 직접적 증거입니다.</w:t>
      </w:r>
    </w:p>
    <w:p>
      <w:pPr>
        <w:pStyle w:val="ListParagraph"/>
        <w:numPr>
          <w:ilvl w:val="0"/>
          <w:numId w:val="2"/>
        </w:numPr>
        <w:spacing w:after="120" w:line="284"/>
      </w:pPr>
      <w:r>
        <w:rPr>
          <w:rFonts w:ascii="Malgun Gothic" w:cs="Malgun Gothic" w:eastAsia="Malgun Gothic" w:hAnsi="Malgun Gothic"/>
          <w:b/>
          <w:bCs/>
          <w:sz w:val="19"/>
          <w:szCs w:val="19"/>
        </w:rPr>
        <w:t xml:space="preserve">규모.</w:t>
      </w:r>
      <w:r>
        <w:rPr>
          <w:rFonts w:ascii="Malgun Gothic" w:cs="Malgun Gothic" w:eastAsia="Malgun Gothic" w:hAnsi="Malgun Gothic"/>
          <w:sz w:val="19"/>
          <w:szCs w:val="19"/>
        </w:rPr>
        <w:t xml:space="preserve"> FY2025 말 유형자산 취득원가는 7조 6,546억원, 장부가 6.03조원이며, FY2025 한 해에 2조 1,829억원이 건설중자산에서 가동자산으로 넘어갔습니다. 같은 규모를 새로 세우려면 비슷한 금액과 수 년의 건설·검증 기간이 필요합니다. 규모 자체가 진입장벽이라는 주장의 근거는 이 숫자이며, '세계 최대'와 같은 순위 주장은 감사보고서에서 확인할 수 없으므로 쓰지 않았습니다.</w:t>
      </w:r>
    </w:p>
    <w:p>
      <w:pPr>
        <w:pStyle w:val="ListParagraph"/>
        <w:numPr>
          <w:ilvl w:val="0"/>
          <w:numId w:val="2"/>
        </w:numPr>
        <w:spacing w:after="120" w:line="284"/>
      </w:pPr>
      <w:r>
        <w:rPr>
          <w:rFonts w:ascii="Malgun Gothic" w:cs="Malgun Gothic" w:eastAsia="Malgun Gothic" w:hAnsi="Malgun Gothic"/>
          <w:b/>
          <w:bCs/>
          <w:sz w:val="19"/>
          <w:szCs w:val="19"/>
        </w:rPr>
        <w:t xml:space="preserve">수익률 자체.</w:t>
      </w:r>
      <w:r>
        <w:rPr>
          <w:rFonts w:ascii="Malgun Gothic" w:cs="Malgun Gothic" w:eastAsia="Malgun Gothic" w:hAnsi="Malgun Gothic"/>
          <w:sz w:val="19"/>
          <w:szCs w:val="19"/>
        </w:rPr>
        <w:t xml:space="preserve"> 건설중자산을 뺀 ROIC이 4년 연속 22%를 넘는다는 사실은 경쟁이 초과이익을 아직 걷어가지 못했다는 증거입니다. 해자의 존재는 이야기가 아니라 수익률로 확인됩니다.</w:t>
      </w:r>
    </w:p>
    <w:p>
      <w:pPr>
        <w:pStyle w:val="Heading2"/>
        <w:spacing w:after="120" w:before="300"/>
      </w:pPr>
      <w:r>
        <w:rPr>
          <w:rFonts w:ascii="Malgun Gothic" w:cs="Malgun Gothic" w:eastAsia="Malgun Gothic" w:hAnsi="Malgun Gothic"/>
          <w:b/>
          <w:bCs/>
          <w:color w:val="1F3864"/>
          <w:sz w:val="23"/>
          <w:szCs w:val="23"/>
        </w:rPr>
        <w:t xml:space="preserve">해자를 의심할 근거</w:t>
      </w:r>
    </w:p>
    <w:tbl>
      <w:tblPr>
        <w:tblW w:type="dxa" w:w="9360"/>
        <w:tblBorders>
          <w:top w:val="single" w:color="BFBFBF" w:sz="2"/>
          <w:left w:val="none"/>
          <w:bottom w:val="single" w:color="BFBFBF" w:sz="2"/>
          <w:right w:val="none"/>
          <w:insideH w:val="single" w:color="D9D9D9" w:sz="1"/>
          <w:insideV w:val="none"/>
        </w:tblBorders>
      </w:tblPr>
      <w:tblGrid>
        <w:gridCol w:w="4080"/>
        <w:gridCol w:w="2640"/>
        <w:gridCol w:w="2640"/>
      </w:tblGrid>
      <w:tr>
        <w:trPr>
          <w:tblHeader/>
        </w:trPr>
        <w:tc>
          <w:tcPr>
            <w:tcW w:type="dxa" w:w="408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
            </w:r>
          </w:p>
        </w:tc>
        <w:tc>
          <w:tcPr>
            <w:tcW w:type="dxa" w:w="264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FY2025</w:t>
            </w:r>
          </w:p>
        </w:tc>
        <w:tc>
          <w:tcPr>
            <w:tcW w:type="dxa" w:w="264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FY2024</w:t>
            </w:r>
          </w:p>
        </w:tc>
      </w:tr>
      <w:tr>
        <w:tc>
          <w:tcPr>
            <w:tcW w:type="dxa" w:w="40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상위 5개 고객 매출</w:t>
            </w:r>
          </w:p>
        </w:tc>
        <w:tc>
          <w:tcPr>
            <w:tcW w:type="dxa" w:w="264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2.39조원</w:t>
            </w:r>
          </w:p>
        </w:tc>
        <w:tc>
          <w:tcPr>
            <w:tcW w:type="dxa" w:w="264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1.65조원</w:t>
            </w:r>
          </w:p>
        </w:tc>
      </w:tr>
      <w:tr>
        <w:tc>
          <w:tcPr>
            <w:tcW w:type="dxa" w:w="408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상위 5개 고객 비중</w:t>
            </w:r>
          </w:p>
        </w:tc>
        <w:tc>
          <w:tcPr>
            <w:tcW w:type="dxa" w:w="264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52.4%</w:t>
            </w:r>
          </w:p>
        </w:tc>
        <w:tc>
          <w:tcPr>
            <w:tcW w:type="dxa" w:w="264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47.1%</w:t>
            </w:r>
          </w:p>
        </w:tc>
      </w:tr>
      <w:tr>
        <w:tc>
          <w:tcPr>
            <w:tcW w:type="dxa" w:w="40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최대 고객 1곳 비중</w:t>
            </w:r>
          </w:p>
        </w:tc>
        <w:tc>
          <w:tcPr>
            <w:tcW w:type="dxa" w:w="264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21.3%</w:t>
            </w:r>
          </w:p>
        </w:tc>
        <w:tc>
          <w:tcPr>
            <w:tcW w:type="dxa" w:w="264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13.9%</w:t>
            </w:r>
          </w:p>
        </w:tc>
      </w:tr>
    </w:tbl>
    <w:p>
      <w:pPr>
        <w:spacing w:after="200"/>
      </w:pPr>
    </w:p>
    <w:p>
      <w:pPr>
        <w:pStyle w:val="ListParagraph"/>
        <w:numPr>
          <w:ilvl w:val="0"/>
          <w:numId w:val="2"/>
        </w:numPr>
        <w:spacing w:after="120" w:line="284"/>
      </w:pPr>
      <w:r>
        <w:rPr>
          <w:rFonts w:ascii="Malgun Gothic" w:cs="Malgun Gothic" w:eastAsia="Malgun Gothic" w:hAnsi="Malgun Gothic"/>
          <w:b/>
          <w:bCs/>
          <w:sz w:val="19"/>
          <w:szCs w:val="19"/>
        </w:rPr>
        <w:t xml:space="preserve">고객 집중.</w:t>
      </w:r>
      <w:r>
        <w:rPr>
          <w:rFonts w:ascii="Malgun Gothic" w:cs="Malgun Gothic" w:eastAsia="Malgun Gothic" w:hAnsi="Malgun Gothic"/>
          <w:sz w:val="19"/>
          <w:szCs w:val="19"/>
        </w:rPr>
        <w:t xml:space="preserve"> 상위 5개 고객이 FY2025 매출의 52.4%이고, 1년 전 47.1%에서 오히려 높아졌습니다. 최대 고객 한 곳이 매출의 21.3%입니다. 익명화된 공시라 같은 고객인지 확인할 수 없지만, 개별 잔액의 이동 폭이 큽니다(A사 +117%, E사 −59%). 해자가 고객 한 곳의 파이프라인 성패에 노출되어 있다는 뜻입니다.</w:t>
      </w:r>
    </w:p>
    <w:p>
      <w:pPr>
        <w:pStyle w:val="ListParagraph"/>
        <w:numPr>
          <w:ilvl w:val="0"/>
          <w:numId w:val="2"/>
        </w:numPr>
        <w:spacing w:after="120" w:line="284"/>
      </w:pPr>
      <w:r>
        <w:rPr>
          <w:rFonts w:ascii="Malgun Gothic" w:cs="Malgun Gothic" w:eastAsia="Malgun Gothic" w:hAnsi="Malgun Gothic"/>
          <w:b/>
          <w:bCs/>
          <w:sz w:val="19"/>
          <w:szCs w:val="19"/>
        </w:rPr>
        <w:t xml:space="preserve">자본집약.</w:t>
      </w:r>
      <w:r>
        <w:rPr>
          <w:rFonts w:ascii="Malgun Gothic" w:cs="Malgun Gothic" w:eastAsia="Malgun Gothic" w:hAnsi="Malgun Gothic"/>
          <w:sz w:val="19"/>
          <w:szCs w:val="19"/>
        </w:rPr>
        <w:t xml:space="preserve"> 해자를 유지하는 데 계속 돈이 듭니다. FY2025 설비투자는 감가상각의 3.7배입니다. 2007년 서한의 분류로 보면 씨즈캔디 같은 '훌륭한' 기업이 아니라 자본을 잘 쓰는 '좋은' 기업입니다.</w:t>
      </w:r>
    </w:p>
    <w:p>
      <w:pPr>
        <w:pStyle w:val="ListParagraph"/>
        <w:numPr>
          <w:ilvl w:val="0"/>
          <w:numId w:val="2"/>
        </w:numPr>
        <w:spacing w:after="120" w:line="284"/>
      </w:pPr>
      <w:r>
        <w:rPr>
          <w:rFonts w:ascii="Malgun Gothic" w:cs="Malgun Gothic" w:eastAsia="Malgun Gothic" w:hAnsi="Malgun Gothic"/>
          <w:b/>
          <w:bCs/>
          <w:sz w:val="19"/>
          <w:szCs w:val="19"/>
        </w:rPr>
        <w:t xml:space="preserve">성장이 한 지역에 몰려 있다.</w:t>
      </w:r>
      <w:r>
        <w:rPr>
          <w:rFonts w:ascii="Malgun Gothic" w:cs="Malgun Gothic" w:eastAsia="Malgun Gothic" w:hAnsi="Malgun Gothic"/>
          <w:sz w:val="19"/>
          <w:szCs w:val="19"/>
        </w:rPr>
        <w:t xml:space="preserve"> 미국 매출이 FY2024 0.82조원에서 FY2025 1.73조원로 111% 늘었습니다. 반면 국내 매출은 줄었습니다. 성장의 대부분이 한 나라의 규제·통상 환경에 걸려 있다는 뜻이며, 이 부분은 감사보고서가 말해주지 않는 영역입니다.</w:t>
      </w:r>
    </w:p>
    <w:p>
      <w:pPr>
        <w:pStyle w:val="ListParagraph"/>
        <w:numPr>
          <w:ilvl w:val="0"/>
          <w:numId w:val="2"/>
        </w:numPr>
        <w:spacing w:after="120" w:line="284"/>
      </w:pPr>
      <w:r>
        <w:rPr>
          <w:rFonts w:ascii="Malgun Gothic" w:cs="Malgun Gothic" w:eastAsia="Malgun Gothic" w:hAnsi="Malgun Gothic"/>
          <w:b/>
          <w:bCs/>
          <w:sz w:val="19"/>
          <w:szCs w:val="19"/>
        </w:rPr>
        <w:t xml:space="preserve">건설중자산이 430십억원으로 줄었습니다.</w:t>
      </w:r>
      <w:r>
        <w:rPr>
          <w:rFonts w:ascii="Malgun Gothic" w:cs="Malgun Gothic" w:eastAsia="Malgun Gothic" w:hAnsi="Malgun Gothic"/>
          <w:sz w:val="19"/>
          <w:szCs w:val="19"/>
        </w:rPr>
        <w:t xml:space="preserve"> 다음 성장 파동을 위한 설비를 아직 짓고 있지 않다는 뜻이기도 합니다. FY2027 이후의 성장은 앞으로 결정·집행할 투자에 달려 있으며, 그 투자가 과거와 같은 수익률을 낼지는 확인된 사실이 아니라 가정입니다.</w:t>
      </w:r>
    </w:p>
    <w:p>
      <w:pPr>
        <w:spacing w:after="140" w:line="288"/>
      </w:pPr>
      <w:r>
        <w:rPr>
          <w:rFonts w:ascii="Malgun Gothic" w:cs="Malgun Gothic" w:eastAsia="Malgun Gothic" w:hAnsi="Malgun Gothic"/>
          <w:b/>
          <w:bCs/>
          <w:sz w:val="19"/>
          <w:szCs w:val="19"/>
        </w:rPr>
        <w:t xml:space="preserve">판정: 조건부 통과.</w:t>
      </w:r>
      <w:r>
        <w:rPr>
          <w:rFonts w:ascii="Malgun Gothic" w:cs="Malgun Gothic" w:eastAsia="Malgun Gothic" w:hAnsi="Malgun Gothic"/>
          <w:sz w:val="19"/>
          <w:szCs w:val="19"/>
        </w:rPr>
        <w:t xml:space="preserve"> 전환비용과 선수금 구조는 실재하고 수익률로 확인됩니다. 다만 '넓고 영구적인' 해자라고 부르기에는 고객 집중도가 높고 유지비용이 큽니다.</w:t>
      </w:r>
    </w:p>
    <w:p>
      <w:pPr>
        <w:pStyle w:val="Heading1"/>
        <w:spacing w:after="160" w:before="400"/>
      </w:pPr>
      <w:r>
        <w:rPr>
          <w:rFonts w:ascii="Malgun Gothic" w:cs="Malgun Gothic" w:eastAsia="Malgun Gothic" w:hAnsi="Malgun Gothic"/>
          <w:b/>
          <w:bCs/>
          <w:color w:val="1F3864"/>
          <w:sz w:val="28"/>
          <w:szCs w:val="28"/>
        </w:rPr>
        <w:t xml:space="preserve">6. 기준 4 — 증분 자본의 수익률</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"정말 훌륭한 사업은 … 성장에 필요한 자본을 거의 쓰지 않고도 훌륭한 자본수익률을 냅니다. … 좋은 사업이지만 훌륭하지는 않은 사업은 성장을 위해 상당한 자본을 필요로 하는데, 그 자본에서 나오는 수익이 만족스럽다면 여전히 좋은 사업입니다."</w:t>
      </w:r>
    </w:p>
    <w:p>
      <w:pPr>
        <w:spacing w:after="200"/>
        <w:ind w:left="360"/>
        <w:jc w:val="right"/>
      </w:pPr>
      <w:r>
        <w:rPr>
          <w:rFonts w:ascii="Malgun Gothic" w:cs="Malgun Gothic" w:eastAsia="Malgun Gothic" w:hAnsi="Malgun Gothic"/>
          <w:color w:val="595959"/>
          <w:sz w:val="16"/>
          <w:szCs w:val="16"/>
        </w:rPr>
        <w:t xml:space="preserve">— 2007년 버크셔 해서웨이 주주서한</w:t>
      </w:r>
    </w:p>
    <w:p>
      <w:pPr>
        <w:spacing w:after="140" w:line="288"/>
      </w:pPr>
      <w:r>
        <w:rPr>
          <w:rFonts w:ascii="Malgun Gothic" w:cs="Malgun Gothic" w:eastAsia="Malgun Gothic" w:hAnsi="Malgun Gothic"/>
          <w:sz w:val="19"/>
          <w:szCs w:val="19"/>
        </w:rPr>
        <w:t xml:space="preserve">이 기준이 삼성바이오로직스의 성격을 정확히 규정합니다. 씨즈캔디처럼 자본이 들지 않는 회사가 아니라, 자본을 대량으로 쓰면서 그 자본에서 높은 수익을 내는 회사입니다.</w:t>
      </w:r>
    </w:p>
    <w:tbl>
      <w:tblPr>
        <w:tblW w:type="dxa" w:w="9360"/>
        <w:tblBorders>
          <w:top w:val="single" w:color="BFBFBF" w:sz="2"/>
          <w:left w:val="none"/>
          <w:bottom w:val="single" w:color="BFBFBF" w:sz="2"/>
          <w:right w:val="none"/>
          <w:insideH w:val="single" w:color="D9D9D9" w:sz="1"/>
          <w:insideV w:val="none"/>
        </w:tblBorders>
      </w:tblPr>
      <w:tblGrid>
        <w:gridCol w:w="2574"/>
        <w:gridCol w:w="2340"/>
        <w:gridCol w:w="2340"/>
        <w:gridCol w:w="2106"/>
      </w:tblGrid>
      <w:tr>
        <w:trPr>
          <w:tblHeader/>
        </w:trPr>
        <w:tc>
          <w:tcPr>
            <w:tcW w:type="dxa" w:w="257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구간</w:t>
            </w:r>
          </w:p>
        </w:tc>
        <w:tc>
          <w:tcPr>
            <w:tcW w:type="dxa" w:w="234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ΔNOPAT</w:t>
            </w:r>
          </w:p>
        </w:tc>
        <w:tc>
          <w:tcPr>
            <w:tcW w:type="dxa" w:w="234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Δ투하자본</w:t>
            </w:r>
          </w:p>
        </w:tc>
        <w:tc>
          <w:tcPr>
            <w:tcW w:type="dxa" w:w="210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증분 ROIC</w:t>
            </w:r>
          </w:p>
        </w:tc>
      </w:tr>
      <w:tr>
        <w:tc>
          <w:tcPr>
            <w:tcW w:type="dxa" w:w="257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FY2016→FY2021</w:t>
            </w:r>
          </w:p>
        </w:tc>
        <w:tc>
          <w:tcPr>
            <w:tcW w:type="dxa" w:w="234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401</w:t>
            </w:r>
          </w:p>
        </w:tc>
        <w:tc>
          <w:tcPr>
            <w:tcW w:type="dxa" w:w="234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1,607</w:t>
            </w:r>
          </w:p>
        </w:tc>
        <w:tc>
          <w:tcPr>
            <w:tcW w:type="dxa" w:w="210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24.9%</w:t>
            </w:r>
          </w:p>
        </w:tc>
      </w:tr>
      <w:tr>
        <w:tc>
          <w:tcPr>
            <w:tcW w:type="dxa" w:w="257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FY2017→FY2022</w:t>
            </w:r>
          </w:p>
        </w:tc>
        <w:tc>
          <w:tcPr>
            <w:tcW w:type="dxa" w:w="234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669</w:t>
            </w:r>
          </w:p>
        </w:tc>
        <w:tc>
          <w:tcPr>
            <w:tcW w:type="dxa" w:w="234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2,666</w:t>
            </w:r>
          </w:p>
        </w:tc>
        <w:tc>
          <w:tcPr>
            <w:tcW w:type="dxa" w:w="210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25.1%</w:t>
            </w:r>
          </w:p>
        </w:tc>
      </w:tr>
      <w:tr>
        <w:tc>
          <w:tcPr>
            <w:tcW w:type="dxa" w:w="257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FY2018→FY2023</w:t>
            </w:r>
          </w:p>
        </w:tc>
        <w:tc>
          <w:tcPr>
            <w:tcW w:type="dxa" w:w="234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889</w:t>
            </w:r>
          </w:p>
        </w:tc>
        <w:tc>
          <w:tcPr>
            <w:tcW w:type="dxa" w:w="234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3,173</w:t>
            </w:r>
          </w:p>
        </w:tc>
        <w:tc>
          <w:tcPr>
            <w:tcW w:type="dxa" w:w="210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28.0%</w:t>
            </w:r>
          </w:p>
        </w:tc>
      </w:tr>
      <w:tr>
        <w:tc>
          <w:tcPr>
            <w:tcW w:type="dxa" w:w="257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FY2019→FY2024</w:t>
            </w:r>
          </w:p>
        </w:tc>
        <w:tc>
          <w:tcPr>
            <w:tcW w:type="dxa" w:w="234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919</w:t>
            </w:r>
          </w:p>
        </w:tc>
        <w:tc>
          <w:tcPr>
            <w:tcW w:type="dxa" w:w="234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3,088</w:t>
            </w:r>
          </w:p>
        </w:tc>
        <w:tc>
          <w:tcPr>
            <w:tcW w:type="dxa" w:w="210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29.7%</w:t>
            </w:r>
          </w:p>
        </w:tc>
      </w:tr>
      <w:tr>
        <w:tc>
          <w:tcPr>
            <w:tcW w:type="dxa" w:w="257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FY2020→FY2025</w:t>
            </w:r>
          </w:p>
        </w:tc>
        <w:tc>
          <w:tcPr>
            <w:tcW w:type="dxa" w:w="234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1,313</w:t>
            </w:r>
          </w:p>
        </w:tc>
        <w:tc>
          <w:tcPr>
            <w:tcW w:type="dxa" w:w="234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4,759</w:t>
            </w:r>
          </w:p>
        </w:tc>
        <w:tc>
          <w:tcPr>
            <w:tcW w:type="dxa" w:w="210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27.6%</w:t>
            </w:r>
          </w:p>
        </w:tc>
      </w:tr>
    </w:tbl>
    <w:p>
      <w:pPr>
        <w:spacing w:after="200"/>
      </w:pPr>
    </w:p>
    <w:p>
      <w:pPr>
        <w:spacing w:after="140" w:line="288"/>
      </w:pPr>
      <w:r>
        <w:rPr>
          <w:rFonts w:ascii="Malgun Gothic" w:cs="Malgun Gothic" w:eastAsia="Malgun Gothic" w:hAnsi="Malgun Gothic"/>
          <w:sz w:val="19"/>
          <w:szCs w:val="19"/>
        </w:rPr>
        <w:t xml:space="preserve">5년 구간 다섯 개가 모두 24.9%~29.7% 안에 들어옵니다. 자본비용 상한 13.0%의 두 배 이상입니다. </w:t>
      </w:r>
      <w:r>
        <w:rPr>
          <w:rFonts w:ascii="Malgun Gothic" w:cs="Malgun Gothic" w:eastAsia="Malgun Gothic" w:hAnsi="Malgun Gothic"/>
          <w:b/>
          <w:bCs/>
          <w:sz w:val="19"/>
          <w:szCs w:val="19"/>
        </w:rPr>
        <w:t xml:space="preserve">기준 4는 통과합니다.</w:t>
      </w:r>
      <w:r>
        <w:rPr>
          <w:rFonts w:ascii="Malgun Gothic" w:cs="Malgun Gothic" w:eastAsia="Malgun Gothic" w:hAnsi="Malgun Gothic"/>
          <w:sz w:val="19"/>
          <w:szCs w:val="19"/>
        </w:rPr>
        <w:t xml:space="preserve"> 한 구간의 우연이 아니라는 점이 중요합니다 — 건설중자산을 뺀 기준으로 계산했고, 매입채무를 차감하지 않아 공사대금이 수익률을 부풀리는 경로를 막았습니다.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동시에 이 표는 기준 7의 결론을 예고합니다. 증분 ROIC이 25~30%라는 것은, 성장률이 25~30%에 접근하면 재투자율이 100%에 접근한다는 뜻입니다. FCF = NOPAT × (1 − g/증분ROIC)이므로 그 지점에서 주주에게 돌아가는 현금은 0이 됩니다.</w:t>
      </w:r>
    </w:p>
    <w:p>
      <w:pPr>
        <w:pStyle w:val="Heading1"/>
        <w:spacing w:after="160" w:before="400"/>
      </w:pPr>
      <w:r>
        <w:rPr>
          <w:rFonts w:ascii="Malgun Gothic" w:cs="Malgun Gothic" w:eastAsia="Malgun Gothic" w:hAnsi="Malgun Gothic"/>
          <w:b/>
          <w:bCs/>
          <w:color w:val="1F3864"/>
          <w:sz w:val="28"/>
          <w:szCs w:val="28"/>
        </w:rPr>
        <w:t xml:space="preserve">7. 기준 5 — 자본배분과 주주지향</w:t>
      </w:r>
    </w:p>
    <w:p>
      <w:pPr>
        <w:pStyle w:val="Heading2"/>
        <w:spacing w:after="120" w:before="300"/>
      </w:pPr>
      <w:r>
        <w:rPr>
          <w:rFonts w:ascii="Malgun Gothic" w:cs="Malgun Gothic" w:eastAsia="Malgun Gothic" w:hAnsi="Malgun Gothic"/>
          <w:b/>
          <w:bCs/>
          <w:color w:val="1F3864"/>
          <w:sz w:val="23"/>
          <w:szCs w:val="23"/>
        </w:rPr>
        <w:t xml:space="preserve">10년간 주주와 회사 사이에 오간 현금</w:t>
      </w:r>
    </w:p>
    <w:tbl>
      <w:tblPr>
        <w:tblW w:type="dxa" w:w="9360"/>
        <w:tblBorders>
          <w:top w:val="single" w:color="BFBFBF" w:sz="2"/>
          <w:left w:val="none"/>
          <w:bottom w:val="single" w:color="BFBFBF" w:sz="2"/>
          <w:right w:val="none"/>
          <w:insideH w:val="single" w:color="D9D9D9" w:sz="1"/>
          <w:insideV w:val="none"/>
        </w:tblBorders>
      </w:tblPr>
      <w:tblGrid>
        <w:gridCol w:w="3510"/>
        <w:gridCol w:w="2106"/>
        <w:gridCol w:w="3744"/>
      </w:tblGrid>
      <w:tr>
        <w:trPr>
          <w:tblHeader/>
        </w:trPr>
        <w:tc>
          <w:tcPr>
            <w:tcW w:type="dxa" w:w="351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항목</w:t>
            </w:r>
          </w:p>
        </w:tc>
        <w:tc>
          <w:tcPr>
            <w:tcW w:type="dxa" w:w="210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금액</w:t>
            </w:r>
          </w:p>
        </w:tc>
        <w:tc>
          <w:tcPr>
            <w:tcW w:type="dxa" w:w="374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설명</w:t>
            </w:r>
          </w:p>
        </w:tc>
      </w:tr>
      <w:tr>
        <w:tc>
          <w:tcPr>
            <w:tcW w:type="dxa" w:w="351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누적 순이익 (FY2016~FY2025)</w:t>
            </w:r>
          </w:p>
        </w:tc>
        <w:tc>
          <w:tcPr>
            <w:tcW w:type="dxa" w:w="210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5.06조원</w:t>
            </w:r>
          </w:p>
        </w:tc>
        <w:tc>
          <w:tcPr>
            <w:tcW w:type="dxa" w:w="374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CDMO 사업 기준</w:t>
            </w:r>
          </w:p>
        </w:tc>
      </w:tr>
      <w:tr>
        <w:tc>
          <w:tcPr>
            <w:tcW w:type="dxa" w:w="351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누적 영업현금흐름</w:t>
            </w:r>
          </w:p>
        </w:tc>
        <w:tc>
          <w:tcPr>
            <w:tcW w:type="dxa" w:w="210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6.38조원</w:t>
            </w:r>
          </w:p>
        </w:tc>
        <w:tc>
          <w:tcPr>
            <w:tcW w:type="dxa" w:w="3744"/>
            <w:shd w:fill="F2F4F8" w:color="auto" w:val="clear"/>
            <w:tcMar>
              <w:top w:type="dxa" w:w="50"/>
              <w:left w:type="dxa" w:w="80"/>
              <w:bottom w:type="dxa" w:w="50"/>
              <w:right w:type="dxa" w:w="80"/>
            </w:tcMar>
          </w:tcPr>
          <w:p>
            <w:pPr>
              <w:spacing w:after="0"/>
              <w:jc w:val="left"/>
            </w:pPr>
          </w:p>
        </w:tc>
      </w:tr>
      <w:tr>
        <w:tc>
          <w:tcPr>
            <w:tcW w:type="dxa" w:w="351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누적 설비투자</w:t>
            </w:r>
          </w:p>
        </w:tc>
        <w:tc>
          <w:tcPr>
            <w:tcW w:type="dxa" w:w="210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6.32조원</w:t>
            </w:r>
          </w:p>
        </w:tc>
        <w:tc>
          <w:tcPr>
            <w:tcW w:type="dxa" w:w="374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유형자산 취득</w:t>
            </w:r>
          </w:p>
        </w:tc>
      </w:tr>
      <w:tr>
        <w:tc>
          <w:tcPr>
            <w:tcW w:type="dxa" w:w="351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누적 영업현금흐름 − 설비투자</w:t>
            </w:r>
          </w:p>
        </w:tc>
        <w:tc>
          <w:tcPr>
            <w:tcW w:type="dxa" w:w="210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56십억원</w:t>
            </w:r>
          </w:p>
        </w:tc>
        <w:tc>
          <w:tcPr>
            <w:tcW w:type="dxa" w:w="374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10년 합계가 사실상 0</w:t>
            </w:r>
          </w:p>
        </w:tc>
      </w:tr>
      <w:tr>
        <w:tc>
          <w:tcPr>
            <w:tcW w:type="dxa" w:w="351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주주가 낸 돈 (2022년 유상증자)</w:t>
            </w:r>
          </w:p>
        </w:tc>
        <w:tc>
          <w:tcPr>
            <w:tcW w:type="dxa" w:w="210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3.19조원</w:t>
            </w:r>
          </w:p>
        </w:tc>
        <w:tc>
          <w:tcPr>
            <w:tcW w:type="dxa" w:w="374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5,009,000주 신규발행 (액면 2,500원). 에피스 잔여지분 인수 자금</w:t>
            </w:r>
          </w:p>
        </w:tc>
      </w:tr>
      <w:tr>
        <w:tc>
          <w:tcPr>
            <w:tcW w:type="dxa" w:w="351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주주가 받은 배당</w:t>
            </w:r>
          </w:p>
        </w:tc>
        <w:tc>
          <w:tcPr>
            <w:tcW w:type="dxa" w:w="210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0원</w:t>
            </w:r>
          </w:p>
        </w:tc>
        <w:tc>
          <w:tcPr>
            <w:tcW w:type="dxa" w:w="374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상장 이후 한 번도 없음</w:t>
            </w:r>
          </w:p>
        </w:tc>
      </w:tr>
      <w:tr>
        <w:tc>
          <w:tcPr>
            <w:tcW w:type="dxa" w:w="351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자기주식 취득</w:t>
            </w:r>
          </w:p>
        </w:tc>
        <w:tc>
          <w:tcPr>
            <w:tcW w:type="dxa" w:w="210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920억원</w:t>
            </w:r>
          </w:p>
        </w:tc>
        <w:tc>
          <w:tcPr>
            <w:tcW w:type="dxa" w:w="374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51,433주. 분할 단수주 취득이며 매입 프로그램이 아님</w:t>
            </w:r>
          </w:p>
        </w:tc>
      </w:tr>
    </w:tbl>
    <w:p>
      <w:pPr>
        <w:spacing w:after="200"/>
      </w:pPr>
    </w:p>
    <w:p>
      <w:pPr>
        <w:spacing w:after="140" w:line="288"/>
      </w:pPr>
      <w:r>
        <w:rPr>
          <w:rFonts w:ascii="Malgun Gothic" w:cs="Malgun Gothic" w:eastAsia="Malgun Gothic" w:hAnsi="Malgun Gothic"/>
          <w:sz w:val="19"/>
          <w:szCs w:val="19"/>
        </w:rPr>
        <w:t xml:space="preserve">10년 동안 순이익 5.06조원을 벌었지만 영업현금흐름에서 설비투자를 뺀 금액은 누적 560억원 — 사실상 0 — 이었고, 그 위에 주주로부터 3.19조원을 더 받았습니다. 번 돈 전부와 증자대금까지 공장에 들어갔다는 뜻입니다.</w:t>
      </w:r>
    </w:p>
    <w:p>
      <w:pPr>
        <w:spacing w:after="140" w:line="288"/>
      </w:pPr>
      <w:r>
        <w:rPr>
          <w:rFonts w:ascii="Malgun Gothic" w:cs="Malgun Gothic" w:eastAsia="Malgun Gothic" w:hAnsi="Malgun Gothic"/>
          <w:sz w:val="19"/>
          <w:szCs w:val="19"/>
        </w:rPr>
        <w:t xml:space="preserve">이 자체는 흠이 아닙니다. 증분 ROIC이 25~30%라면 배당하지 않고 재투자하는 것이 옳은 결정입니다. 1달러를 유보해 1달러 이상의 시장가치를 만들었느냐는 버핏의 기준으로 보면, 그렇습니다. </w:t>
      </w:r>
      <w:r>
        <w:rPr>
          <w:rFonts w:ascii="Malgun Gothic" w:cs="Malgun Gothic" w:eastAsia="Malgun Gothic" w:hAnsi="Malgun Gothic"/>
          <w:b/>
          <w:bCs/>
          <w:sz w:val="19"/>
          <w:szCs w:val="19"/>
        </w:rPr>
        <w:t xml:space="preserve">하지만 그 결정의 귀결도 정직하게 적어야 합니다. 이 주식을 보유해서 지난 10년간 받은 현금은 0원이고, 수익은 전부 주가에서 나와야 했습니다.</w:t>
      </w:r>
    </w:p>
    <w:p>
      <w:pPr>
        <w:pStyle w:val="Heading2"/>
        <w:spacing w:after="120" w:before="300"/>
      </w:pPr>
      <w:r>
        <w:rPr>
          <w:rFonts w:ascii="Malgun Gothic" w:cs="Malgun Gothic" w:eastAsia="Malgun Gothic" w:hAnsi="Malgun Gothic"/>
          <w:b/>
          <w:bCs/>
          <w:color w:val="1F3864"/>
          <w:sz w:val="23"/>
          <w:szCs w:val="23"/>
        </w:rPr>
        <w:t xml:space="preserve">최근 5년은 달라지고 있다</w:t>
      </w:r>
    </w:p>
    <w:p>
      <w:pPr>
        <w:spacing w:after="140" w:line="288"/>
      </w:pPr>
      <w:r>
        <w:rPr>
          <w:rFonts w:ascii="Malgun Gothic" w:cs="Malgun Gothic" w:eastAsia="Malgun Gothic" w:hAnsi="Malgun Gothic"/>
          <w:sz w:val="19"/>
          <w:szCs w:val="19"/>
        </w:rPr>
        <w:t xml:space="preserve">FY2021~FY2025만 보면 누적 순이익 4.66조원, 누적 영업현금흐름 − 설비투자 1.04조원입니다. 순이익의 22%가 현금으로 남았습니다. FY2025만 보면 5,771억원이고, 여기에는 아래에서 설명하는 공급자금융 청산 5,268억원이 빠져 있으므로 이를 되돌리면 약 11,039억원입니다. 5공장 투자가 끝나면서 현금이 실제로 남기 시작한 변곡점으로 보입니다.</w:t>
      </w:r>
    </w:p>
    <w:p>
      <w:pPr>
        <w:pStyle w:val="Heading2"/>
        <w:spacing w:after="120" w:before="300"/>
      </w:pPr>
      <w:r>
        <w:rPr>
          <w:rFonts w:ascii="Malgun Gothic" w:cs="Malgun Gothic" w:eastAsia="Malgun Gothic" w:hAnsi="Malgun Gothic"/>
          <w:b/>
          <w:bCs/>
          <w:color w:val="1F3864"/>
          <w:sz w:val="23"/>
          <w:szCs w:val="23"/>
        </w:rPr>
        <w:t xml:space="preserve">지배구조에서 확인해야 할 것</w:t>
      </w:r>
    </w:p>
    <w:p>
      <w:pPr>
        <w:pStyle w:val="ListParagraph"/>
        <w:numPr>
          <w:ilvl w:val="0"/>
          <w:numId w:val="2"/>
        </w:numPr>
        <w:spacing w:after="120" w:line="284"/>
      </w:pPr>
      <w:r>
        <w:rPr>
          <w:rFonts w:ascii="Malgun Gothic" w:cs="Malgun Gothic" w:eastAsia="Malgun Gothic" w:hAnsi="Malgun Gothic"/>
          <w:b/>
          <w:bCs/>
          <w:sz w:val="19"/>
          <w:szCs w:val="19"/>
        </w:rPr>
        <w:t xml:space="preserve">지배주주 비중 74.3%.</w:t>
      </w:r>
      <w:r>
        <w:rPr>
          <w:rFonts w:ascii="Malgun Gothic" w:cs="Malgun Gothic" w:eastAsia="Malgun Gothic" w:hAnsi="Malgun Gothic"/>
          <w:sz w:val="19"/>
          <w:szCs w:val="19"/>
        </w:rPr>
        <w:t xml:space="preserve"> FY2025 말 삼성물산 43.06%, 삼성전자 31.22%. 유통주식은 25.7%입니다. 소수주주가 자본배분에 개입할 여지는 사실상 없습니다.</w:t>
      </w:r>
    </w:p>
    <w:p>
      <w:pPr>
        <w:pStyle w:val="ListParagraph"/>
        <w:numPr>
          <w:ilvl w:val="0"/>
          <w:numId w:val="2"/>
        </w:numPr>
        <w:spacing w:after="120" w:line="284"/>
      </w:pPr>
      <w:r>
        <w:rPr>
          <w:rFonts w:ascii="Malgun Gothic" w:cs="Malgun Gothic" w:eastAsia="Malgun Gothic" w:hAnsi="Malgun Gothic"/>
          <w:b/>
          <w:bCs/>
          <w:sz w:val="19"/>
          <w:szCs w:val="19"/>
        </w:rPr>
        <w:t xml:space="preserve">특수관계자 매입채무.</w:t>
      </w:r>
      <w:r>
        <w:rPr>
          <w:rFonts w:ascii="Malgun Gothic" w:cs="Malgun Gothic" w:eastAsia="Malgun Gothic" w:hAnsi="Malgun Gothic"/>
          <w:sz w:val="19"/>
          <w:szCs w:val="19"/>
        </w:rPr>
        <w:t xml:space="preserve"> FY2024 말 특수관계자에 대한 매입채무가 5,550억원(554,989백만원)이었고 FY2025 말 391억원입니다. 이 가운데 공급자금융 약정 잔액이 FY2024 5,406억원, FY2025 138억원입니다. 사실상 계열사를 통한 단기 자금조달이 매입채무로 표시되어 있었다는 뜻이며, FY2024 영업현금흐름은 그만큼 부풀려지고 FY2025는 그만큼 깎였습니다. 금액 자체는 청산되었지만 이런 거래가 가능한 구조라는 점은 기록해 둘 사항입니다.</w:t>
      </w:r>
    </w:p>
    <w:p>
      <w:pPr>
        <w:pStyle w:val="ListParagraph"/>
        <w:numPr>
          <w:ilvl w:val="0"/>
          <w:numId w:val="2"/>
        </w:numPr>
        <w:spacing w:after="120" w:line="284"/>
      </w:pPr>
      <w:r>
        <w:rPr>
          <w:rFonts w:ascii="Malgun Gothic" w:cs="Malgun Gothic" w:eastAsia="Malgun Gothic" w:hAnsi="Malgun Gothic"/>
          <w:b/>
          <w:bCs/>
          <w:sz w:val="19"/>
          <w:szCs w:val="19"/>
        </w:rPr>
        <w:t xml:space="preserve">분할의 왕복.</w:t>
      </w:r>
      <w:r>
        <w:rPr>
          <w:rFonts w:ascii="Malgun Gothic" w:cs="Malgun Gothic" w:eastAsia="Malgun Gothic" w:hAnsi="Malgun Gothic"/>
          <w:sz w:val="19"/>
          <w:szCs w:val="19"/>
        </w:rPr>
        <w:t xml:space="preserve"> 2022년에 3.19조원을 증자해 에피스 지분 50%를 사들였고, 2025년에 그 에피스를 떼어내 주주에게 삼성에피스홀딩스 주식으로 나눠줬습니다. 주주가 손실을 본 것은 아니지만, 3년 반 동안 자본을 왕복시킨 셈입니다. 그 과정에서 발행주식은 66,165,000주 → 71,174,000주 → 46,290,951주로 두 번 바뀌었고, 분할 이전 주가·EPS와 현재 수치는 직접 비교할 수 없습니다.</w:t>
      </w:r>
    </w:p>
    <w:p>
      <w:pPr>
        <w:spacing w:after="140" w:line="288"/>
      </w:pPr>
      <w:r>
        <w:rPr>
          <w:rFonts w:ascii="Malgun Gothic" w:cs="Malgun Gothic" w:eastAsia="Malgun Gothic" w:hAnsi="Malgun Gothic"/>
          <w:b/>
          <w:bCs/>
          <w:sz w:val="19"/>
          <w:szCs w:val="19"/>
        </w:rPr>
        <w:t xml:space="preserve">판정: 조건부 통과.</w:t>
      </w:r>
      <w:r>
        <w:rPr>
          <w:rFonts w:ascii="Malgun Gothic" w:cs="Malgun Gothic" w:eastAsia="Malgun Gothic" w:hAnsi="Malgun Gothic"/>
          <w:sz w:val="19"/>
          <w:szCs w:val="19"/>
        </w:rPr>
        <w:t xml:space="preserve"> 재투자 수익률이 높으므로 무배당·전액재투자는 정당한 선택입니다. 다만 주주지향의 증거(배당, 자기주식 매입, 소수주주 보호장치)는 없고, 지배구조는 소수주주가 목소리를 낼 구조가 아닙니다.</w:t>
      </w:r>
    </w:p>
    <w:p>
      <w:pPr>
        <w:pStyle w:val="Heading1"/>
        <w:spacing w:after="160" w:before="400"/>
      </w:pPr>
      <w:r>
        <w:rPr>
          <w:rFonts w:ascii="Malgun Gothic" w:cs="Malgun Gothic" w:eastAsia="Malgun Gothic" w:hAnsi="Malgun Gothic"/>
          <w:b/>
          <w:bCs/>
          <w:color w:val="1F3864"/>
          <w:sz w:val="28"/>
          <w:szCs w:val="28"/>
        </w:rPr>
        <w:t xml:space="preserve">8. 기준 6 — 이익의 질</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"주주이익은 (a) 보고이익에 (b) 감가상각비, 감모상각비, 기타 비현금성 비용을 더하고, (c) 기업이 장기적 경쟁지위와 판매량을 완전히 유지하기 위해 필요한 연평균 설비투자액을 차감한 값입니다."</w:t>
      </w:r>
    </w:p>
    <w:p>
      <w:pPr>
        <w:spacing w:after="200"/>
        <w:ind w:left="360"/>
        <w:jc w:val="right"/>
      </w:pPr>
      <w:r>
        <w:rPr>
          <w:rFonts w:ascii="Malgun Gothic" w:cs="Malgun Gothic" w:eastAsia="Malgun Gothic" w:hAnsi="Malgun Gothic"/>
          <w:color w:val="595959"/>
          <w:sz w:val="16"/>
          <w:szCs w:val="16"/>
        </w:rPr>
        <w:t xml:space="preserve">— 1986년 버크셔 해서웨이 주주서한, 부록</w:t>
      </w:r>
    </w:p>
    <w:p>
      <w:pPr>
        <w:spacing w:after="140" w:line="288"/>
      </w:pPr>
      <w:r>
        <w:rPr>
          <w:rFonts w:ascii="Malgun Gothic" w:cs="Malgun Gothic" w:eastAsia="Malgun Gothic" w:hAnsi="Malgun Gothic"/>
          <w:sz w:val="19"/>
          <w:szCs w:val="19"/>
        </w:rPr>
        <w:t xml:space="preserve">이 정의에서 판단이 필요한 부분은 (c) 한 줄뿐입니다. FY2025 설비투자 1,376십억원 중 얼마가 '유지'이고 얼마가 '성장'인가. 회사는 공장을 짓고 있으므로 대부분은 성장입니다. 그래서 세 가지로 계산해 범위를 보여드립니다.</w:t>
      </w:r>
    </w:p>
    <w:tbl>
      <w:tblPr>
        <w:tblW w:type="dxa" w:w="9360"/>
        <w:tblBorders>
          <w:top w:val="single" w:color="BFBFBF" w:sz="2"/>
          <w:left w:val="none"/>
          <w:bottom w:val="single" w:color="BFBFBF" w:sz="2"/>
          <w:right w:val="none"/>
          <w:insideH w:val="single" w:color="D9D9D9" w:sz="1"/>
          <w:insideV w:val="none"/>
        </w:tblBorders>
      </w:tblPr>
      <w:tblGrid>
        <w:gridCol w:w="585"/>
        <w:gridCol w:w="1053"/>
        <w:gridCol w:w="1053"/>
        <w:gridCol w:w="1053"/>
        <w:gridCol w:w="1872"/>
        <w:gridCol w:w="1989"/>
        <w:gridCol w:w="1755"/>
      </w:tblGrid>
      <w:tr>
        <w:trPr>
          <w:tblHeader/>
        </w:trPr>
        <w:tc>
          <w:tcPr>
            <w:tcW w:type="dxa" w:w="58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FY</w:t>
            </w:r>
          </w:p>
        </w:tc>
        <w:tc>
          <w:tcPr>
            <w:tcW w:type="dxa" w:w="1053"/>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순이익</w:t>
            </w:r>
          </w:p>
        </w:tc>
        <w:tc>
          <w:tcPr>
            <w:tcW w:type="dxa" w:w="1053"/>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감가상각</w:t>
            </w:r>
          </w:p>
        </w:tc>
        <w:tc>
          <w:tcPr>
            <w:tcW w:type="dxa" w:w="1053"/>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설비투자</w:t>
            </w:r>
          </w:p>
        </w:tc>
        <w:tc>
          <w:tcPr>
            <w:tcW w:type="dxa" w:w="187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주주이익 (유지=감가상각)</w:t>
            </w:r>
          </w:p>
        </w:tc>
        <w:tc>
          <w:tcPr>
            <w:tcW w:type="dxa" w:w="198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주주이익 (유지=설비투자 전액)</w:t>
            </w:r>
          </w:p>
        </w:tc>
        <w:tc>
          <w:tcPr>
            <w:tcW w:type="dxa" w:w="175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영업현금흐름−설비투자</w:t>
            </w:r>
          </w:p>
        </w:tc>
      </w:tr>
      <w:tr>
        <w:tc>
          <w:tcPr>
            <w:tcW w:type="dxa" w:w="58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2016</w:t>
            </w:r>
          </w:p>
        </w:tc>
        <w:tc>
          <w:tcPr>
            <w:tcW w:type="dxa" w:w="105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-177</w:t>
            </w:r>
          </w:p>
        </w:tc>
        <w:tc>
          <w:tcPr>
            <w:tcW w:type="dxa" w:w="105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60</w:t>
            </w:r>
          </w:p>
        </w:tc>
        <w:tc>
          <w:tcPr>
            <w:tcW w:type="dxa" w:w="105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163</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-177</w:t>
            </w:r>
          </w:p>
        </w:tc>
        <w:tc>
          <w:tcPr>
            <w:tcW w:type="dxa" w:w="198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-280</w:t>
            </w:r>
          </w:p>
        </w:tc>
        <w:tc>
          <w:tcPr>
            <w:tcW w:type="dxa" w:w="175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-226</w:t>
            </w:r>
          </w:p>
        </w:tc>
      </w:tr>
      <w:tr>
        <w:tc>
          <w:tcPr>
            <w:tcW w:type="dxa" w:w="58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2017</w:t>
            </w:r>
          </w:p>
        </w:tc>
        <w:tc>
          <w:tcPr>
            <w:tcW w:type="dxa" w:w="105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-97</w:t>
            </w:r>
          </w:p>
        </w:tc>
        <w:tc>
          <w:tcPr>
            <w:tcW w:type="dxa" w:w="105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70</w:t>
            </w:r>
          </w:p>
        </w:tc>
        <w:tc>
          <w:tcPr>
            <w:tcW w:type="dxa" w:w="105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494</w:t>
            </w:r>
          </w:p>
        </w:tc>
        <w:tc>
          <w:tcPr>
            <w:tcW w:type="dxa" w:w="187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-147</w:t>
            </w:r>
          </w:p>
        </w:tc>
        <w:tc>
          <w:tcPr>
            <w:tcW w:type="dxa" w:w="198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-571</w:t>
            </w:r>
          </w:p>
        </w:tc>
        <w:tc>
          <w:tcPr>
            <w:tcW w:type="dxa" w:w="175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-344</w:t>
            </w:r>
          </w:p>
        </w:tc>
      </w:tr>
      <w:tr>
        <w:tc>
          <w:tcPr>
            <w:tcW w:type="dxa" w:w="58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2018</w:t>
            </w:r>
          </w:p>
        </w:tc>
        <w:tc>
          <w:tcPr>
            <w:tcW w:type="dxa" w:w="105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224</w:t>
            </w:r>
          </w:p>
        </w:tc>
        <w:tc>
          <w:tcPr>
            <w:tcW w:type="dxa" w:w="105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91</w:t>
            </w:r>
          </w:p>
        </w:tc>
        <w:tc>
          <w:tcPr>
            <w:tcW w:type="dxa" w:w="105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348</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264</w:t>
            </w:r>
          </w:p>
        </w:tc>
        <w:tc>
          <w:tcPr>
            <w:tcW w:type="dxa" w:w="198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w:t>
            </w:r>
          </w:p>
        </w:tc>
        <w:tc>
          <w:tcPr>
            <w:tcW w:type="dxa" w:w="175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-311</w:t>
            </w:r>
          </w:p>
        </w:tc>
      </w:tr>
      <w:tr>
        <w:tc>
          <w:tcPr>
            <w:tcW w:type="dxa" w:w="58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2019</w:t>
            </w:r>
          </w:p>
        </w:tc>
        <w:tc>
          <w:tcPr>
            <w:tcW w:type="dxa" w:w="105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203</w:t>
            </w:r>
          </w:p>
        </w:tc>
        <w:tc>
          <w:tcPr>
            <w:tcW w:type="dxa" w:w="105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133</w:t>
            </w:r>
          </w:p>
        </w:tc>
        <w:tc>
          <w:tcPr>
            <w:tcW w:type="dxa" w:w="105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172</w:t>
            </w:r>
          </w:p>
        </w:tc>
        <w:tc>
          <w:tcPr>
            <w:tcW w:type="dxa" w:w="187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154</w:t>
            </w:r>
          </w:p>
        </w:tc>
        <w:tc>
          <w:tcPr>
            <w:tcW w:type="dxa" w:w="198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115</w:t>
            </w:r>
          </w:p>
        </w:tc>
        <w:tc>
          <w:tcPr>
            <w:tcW w:type="dxa" w:w="175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-162</w:t>
            </w:r>
          </w:p>
        </w:tc>
      </w:tr>
      <w:tr>
        <w:tc>
          <w:tcPr>
            <w:tcW w:type="dxa" w:w="58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2020</w:t>
            </w:r>
          </w:p>
        </w:tc>
        <w:tc>
          <w:tcPr>
            <w:tcW w:type="dxa" w:w="105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241</w:t>
            </w:r>
          </w:p>
        </w:tc>
        <w:tc>
          <w:tcPr>
            <w:tcW w:type="dxa" w:w="105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143</w:t>
            </w:r>
          </w:p>
        </w:tc>
        <w:tc>
          <w:tcPr>
            <w:tcW w:type="dxa" w:w="105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140</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114</w:t>
            </w:r>
          </w:p>
        </w:tc>
        <w:tc>
          <w:tcPr>
            <w:tcW w:type="dxa" w:w="198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118</w:t>
            </w:r>
          </w:p>
        </w:tc>
        <w:tc>
          <w:tcPr>
            <w:tcW w:type="dxa" w:w="175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62</w:t>
            </w:r>
          </w:p>
        </w:tc>
      </w:tr>
      <w:tr>
        <w:tc>
          <w:tcPr>
            <w:tcW w:type="dxa" w:w="58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2021</w:t>
            </w:r>
          </w:p>
        </w:tc>
        <w:tc>
          <w:tcPr>
            <w:tcW w:type="dxa" w:w="105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394</w:t>
            </w:r>
          </w:p>
        </w:tc>
        <w:tc>
          <w:tcPr>
            <w:tcW w:type="dxa" w:w="105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162</w:t>
            </w:r>
          </w:p>
        </w:tc>
        <w:tc>
          <w:tcPr>
            <w:tcW w:type="dxa" w:w="105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406</w:t>
            </w:r>
          </w:p>
        </w:tc>
        <w:tc>
          <w:tcPr>
            <w:tcW w:type="dxa" w:w="187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320</w:t>
            </w:r>
          </w:p>
        </w:tc>
        <w:tc>
          <w:tcPr>
            <w:tcW w:type="dxa" w:w="198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76</w:t>
            </w:r>
          </w:p>
        </w:tc>
        <w:tc>
          <w:tcPr>
            <w:tcW w:type="dxa" w:w="175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48</w:t>
            </w:r>
          </w:p>
        </w:tc>
      </w:tr>
      <w:tr>
        <w:tc>
          <w:tcPr>
            <w:tcW w:type="dxa" w:w="58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2022</w:t>
            </w:r>
          </w:p>
        </w:tc>
        <w:tc>
          <w:tcPr>
            <w:tcW w:type="dxa" w:w="105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687</w:t>
            </w:r>
          </w:p>
        </w:tc>
        <w:tc>
          <w:tcPr>
            <w:tcW w:type="dxa" w:w="105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181</w:t>
            </w:r>
          </w:p>
        </w:tc>
        <w:tc>
          <w:tcPr>
            <w:tcW w:type="dxa" w:w="105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948</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547</w:t>
            </w:r>
          </w:p>
        </w:tc>
        <w:tc>
          <w:tcPr>
            <w:tcW w:type="dxa" w:w="198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-220</w:t>
            </w:r>
          </w:p>
        </w:tc>
        <w:tc>
          <w:tcPr>
            <w:tcW w:type="dxa" w:w="175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-117</w:t>
            </w:r>
          </w:p>
        </w:tc>
      </w:tr>
      <w:tr>
        <w:tc>
          <w:tcPr>
            <w:tcW w:type="dxa" w:w="58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2023</w:t>
            </w:r>
          </w:p>
        </w:tc>
        <w:tc>
          <w:tcPr>
            <w:tcW w:type="dxa" w:w="105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946</w:t>
            </w:r>
          </w:p>
        </w:tc>
        <w:tc>
          <w:tcPr>
            <w:tcW w:type="dxa" w:w="105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255</w:t>
            </w:r>
          </w:p>
        </w:tc>
        <w:tc>
          <w:tcPr>
            <w:tcW w:type="dxa" w:w="105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976</w:t>
            </w:r>
          </w:p>
        </w:tc>
        <w:tc>
          <w:tcPr>
            <w:tcW w:type="dxa" w:w="187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856</w:t>
            </w:r>
          </w:p>
        </w:tc>
        <w:tc>
          <w:tcPr>
            <w:tcW w:type="dxa" w:w="198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135</w:t>
            </w:r>
          </w:p>
        </w:tc>
        <w:tc>
          <w:tcPr>
            <w:tcW w:type="dxa" w:w="175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442</w:t>
            </w:r>
          </w:p>
        </w:tc>
      </w:tr>
      <w:tr>
        <w:tc>
          <w:tcPr>
            <w:tcW w:type="dxa" w:w="58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2024</w:t>
            </w:r>
          </w:p>
        </w:tc>
        <w:tc>
          <w:tcPr>
            <w:tcW w:type="dxa" w:w="105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1,051</w:t>
            </w:r>
          </w:p>
        </w:tc>
        <w:tc>
          <w:tcPr>
            <w:tcW w:type="dxa" w:w="105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299</w:t>
            </w:r>
          </w:p>
        </w:tc>
        <w:tc>
          <w:tcPr>
            <w:tcW w:type="dxa" w:w="105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1,297</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1,249</w:t>
            </w:r>
          </w:p>
        </w:tc>
        <w:tc>
          <w:tcPr>
            <w:tcW w:type="dxa" w:w="198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251</w:t>
            </w:r>
          </w:p>
        </w:tc>
        <w:tc>
          <w:tcPr>
            <w:tcW w:type="dxa" w:w="175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86</w:t>
            </w:r>
          </w:p>
        </w:tc>
      </w:tr>
      <w:tr>
        <w:tc>
          <w:tcPr>
            <w:tcW w:type="dxa" w:w="58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2025</w:t>
            </w:r>
          </w:p>
        </w:tc>
        <w:tc>
          <w:tcPr>
            <w:tcW w:type="dxa" w:w="105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1,586</w:t>
            </w:r>
          </w:p>
        </w:tc>
        <w:tc>
          <w:tcPr>
            <w:tcW w:type="dxa" w:w="105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369</w:t>
            </w:r>
          </w:p>
        </w:tc>
        <w:tc>
          <w:tcPr>
            <w:tcW w:type="dxa" w:w="105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1,376</w:t>
            </w:r>
          </w:p>
        </w:tc>
        <w:tc>
          <w:tcPr>
            <w:tcW w:type="dxa" w:w="187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1,593</w:t>
            </w:r>
          </w:p>
        </w:tc>
        <w:tc>
          <w:tcPr>
            <w:tcW w:type="dxa" w:w="198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586</w:t>
            </w:r>
          </w:p>
        </w:tc>
        <w:tc>
          <w:tcPr>
            <w:tcW w:type="dxa" w:w="175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577</w:t>
            </w:r>
          </w:p>
        </w:tc>
      </w:tr>
    </w:tbl>
    <w:p>
      <w:pPr>
        <w:spacing w:after="200"/>
      </w:pPr>
    </w:p>
    <w:p>
      <w:pPr>
        <w:spacing w:after="140" w:line="288"/>
      </w:pPr>
      <w:r>
        <w:rPr>
          <w:rFonts w:ascii="Malgun Gothic" w:cs="Malgun Gothic" w:eastAsia="Malgun Gothic" w:hAnsi="Malgun Gothic"/>
          <w:sz w:val="19"/>
          <w:szCs w:val="19"/>
        </w:rPr>
        <w:t xml:space="preserve">두 끝 중 어느 쪽도 단독으로 답이 아닙니다. 왼쪽(유지=감가상각)은 회사가 성장을 멈추면 얼마를 벌게 되는지를 말하고, 오른쪽은 성장하는 동안 주주에게 실제로 얼마가 남는지를 말합니다. FY2025 기준 왼쪽 1,593십억원, 오른쪽 586십억원 — 2.7배 차이입니다. 가치평가에서는 이 문제를 항등식이 자동으로 처리합니다. 성장률을 가정하면 재투자율이 따라 나오므로, 유지·성장을 임의로 가르지 않아도 됩니다.</w:t>
      </w:r>
    </w:p>
    <w:p>
      <w:pPr>
        <w:pStyle w:val="Heading2"/>
        <w:spacing w:after="120" w:before="300"/>
      </w:pPr>
      <w:r>
        <w:rPr>
          <w:rFonts w:ascii="Malgun Gothic" w:cs="Malgun Gothic" w:eastAsia="Malgun Gothic" w:hAnsi="Malgun Gothic"/>
          <w:b/>
          <w:bCs/>
          <w:color w:val="1F3864"/>
          <w:sz w:val="23"/>
          <w:szCs w:val="23"/>
        </w:rPr>
        <w:t xml:space="preserve">회계의 신뢰성</w:t>
      </w:r>
    </w:p>
    <w:p>
      <w:pPr>
        <w:pStyle w:val="ListParagraph"/>
        <w:numPr>
          <w:ilvl w:val="0"/>
          <w:numId w:val="2"/>
        </w:numPr>
        <w:spacing w:after="120" w:line="284"/>
      </w:pPr>
      <w:r>
        <w:rPr>
          <w:rFonts w:ascii="Malgun Gothic" w:cs="Malgun Gothic" w:eastAsia="Malgun Gothic" w:hAnsi="Malgun Gothic"/>
          <w:b/>
          <w:bCs/>
          <w:sz w:val="19"/>
          <w:szCs w:val="19"/>
        </w:rPr>
        <w:t xml:space="preserve">현금이 이익을 뒷받침합니다.</w:t>
      </w:r>
      <w:r>
        <w:rPr>
          <w:rFonts w:ascii="Malgun Gothic" w:cs="Malgun Gothic" w:eastAsia="Malgun Gothic" w:hAnsi="Malgun Gothic"/>
          <w:sz w:val="19"/>
          <w:szCs w:val="19"/>
        </w:rPr>
        <w:t xml:space="preserve"> FY2025 영업현금흐름 1,953십억원이 순이익 1,586십억원을 넘습니다. 발생주의로 이익을 밀어넣은 흔적은 없습니다.</w:t>
      </w:r>
    </w:p>
    <w:p>
      <w:pPr>
        <w:pStyle w:val="ListParagraph"/>
        <w:numPr>
          <w:ilvl w:val="0"/>
          <w:numId w:val="2"/>
        </w:numPr>
        <w:spacing w:after="120" w:line="284"/>
      </w:pPr>
      <w:r>
        <w:rPr>
          <w:rFonts w:ascii="Malgun Gothic" w:cs="Malgun Gothic" w:eastAsia="Malgun Gothic" w:hAnsi="Malgun Gothic"/>
          <w:b/>
          <w:bCs/>
          <w:sz w:val="19"/>
          <w:szCs w:val="19"/>
        </w:rPr>
        <w:t xml:space="preserve">재고는 봐야 합니다.</w:t>
      </w:r>
      <w:r>
        <w:rPr>
          <w:rFonts w:ascii="Malgun Gothic" w:cs="Malgun Gothic" w:eastAsia="Malgun Gothic" w:hAnsi="Malgun Gothic"/>
          <w:sz w:val="19"/>
          <w:szCs w:val="19"/>
        </w:rPr>
        <w:t xml:space="preserve"> FY2025 재고 2.13조원은 매출원가 2.04조원 대비 약 381일분입니다. 제품 724.8십억원(전년 526.9에서 +37.7%)이 매출 증가율(+30.3%)보다 빠르게 늘었습니다. 배치 생산과 고객 출하승인 대기 때문에 이 업종의 재고는 원래 길지만, 제품 재고가 매출보다 계속 빠르게 늘면 그때는 신호입니다. 평가손실충당금은 811억원(취득원가의 3.7%)이고 당기 평가손실은 198억원으로 전년 563억원보다 줄었습니다.</w:t>
      </w:r>
    </w:p>
    <w:p>
      <w:pPr>
        <w:pStyle w:val="ListParagraph"/>
        <w:numPr>
          <w:ilvl w:val="0"/>
          <w:numId w:val="2"/>
        </w:numPr>
        <w:spacing w:after="120" w:line="284"/>
      </w:pPr>
      <w:r>
        <w:rPr>
          <w:rFonts w:ascii="Malgun Gothic" w:cs="Malgun Gothic" w:eastAsia="Malgun Gothic" w:hAnsi="Malgun Gothic"/>
          <w:b/>
          <w:bCs/>
          <w:sz w:val="19"/>
          <w:szCs w:val="19"/>
        </w:rPr>
        <w:t xml:space="preserve">공급자금융.</w:t>
      </w:r>
      <w:r>
        <w:rPr>
          <w:rFonts w:ascii="Malgun Gothic" w:cs="Malgun Gothic" w:eastAsia="Malgun Gothic" w:hAnsi="Malgun Gothic"/>
          <w:sz w:val="19"/>
          <w:szCs w:val="19"/>
        </w:rPr>
        <w:t xml:space="preserve"> 위에서 다룬 대로 FY2024 매입채무에 5,406억원이 섞여 있었습니다. FY2024와 FY2025의 영업현금흐름을 그대로 비교하면 안 됩니다.</w:t>
      </w:r>
    </w:p>
    <w:p>
      <w:pPr>
        <w:pStyle w:val="ListParagraph"/>
        <w:numPr>
          <w:ilvl w:val="0"/>
          <w:numId w:val="2"/>
        </w:numPr>
        <w:spacing w:after="120" w:line="284"/>
      </w:pPr>
      <w:r>
        <w:rPr>
          <w:rFonts w:ascii="Malgun Gothic" w:cs="Malgun Gothic" w:eastAsia="Malgun Gothic" w:hAnsi="Malgun Gothic"/>
          <w:b/>
          <w:bCs/>
          <w:sz w:val="19"/>
          <w:szCs w:val="19"/>
        </w:rPr>
        <w:t xml:space="preserve">감사인의 핵심감사사항.</w:t>
      </w:r>
      <w:r>
        <w:rPr>
          <w:rFonts w:ascii="Malgun Gothic" w:cs="Malgun Gothic" w:eastAsia="Malgun Gothic" w:hAnsi="Malgun Gothic"/>
          <w:sz w:val="19"/>
          <w:szCs w:val="19"/>
        </w:rPr>
        <w:t xml:space="preserve"> FY2025 감사보고서는 CMO 배치 매출의 인식 시점 절단을 핵심감사사항으로 지정했습니다. 오류가 있었다는 뜻이 아니라, 판단이 개입하는 지점이 어디인지 감사인이 밝힌 것입니다.</w:t>
      </w:r>
    </w:p>
    <w:p>
      <w:pPr>
        <w:pStyle w:val="Heading2"/>
        <w:spacing w:after="120" w:before="300"/>
      </w:pPr>
      <w:r>
        <w:rPr>
          <w:rFonts w:ascii="Malgun Gothic" w:cs="Malgun Gothic" w:eastAsia="Malgun Gothic" w:hAnsi="Malgun Gothic"/>
          <w:b/>
          <w:bCs/>
          <w:color w:val="1F3864"/>
          <w:sz w:val="23"/>
          <w:szCs w:val="23"/>
        </w:rPr>
        <w:t xml:space="preserve">2018년 회계 사건 — 사실관계와 현재 상태</w:t>
      </w:r>
    </w:p>
    <w:p>
      <w:pPr>
        <w:spacing w:after="140" w:line="288"/>
      </w:pPr>
      <w:r>
        <w:rPr>
          <w:rFonts w:ascii="Malgun Gothic" w:cs="Malgun Gothic" w:eastAsia="Malgun Gothic" w:hAnsi="Malgun Gothic"/>
          <w:sz w:val="19"/>
          <w:szCs w:val="19"/>
        </w:rPr>
        <w:t xml:space="preserve">이 회사는 2018년 증권선물위원회로부터 에피스 회계처리와 관련해 두 차례 행정처분을 받았습니다(감사인 지정 3년, 대표이사 해임 권고, 검찰 통보, 재무제표 재작성, 과징금 80억원). 회사는 두 처분 모두 취소소송을 제기했습니다.</w:t>
      </w:r>
    </w:p>
    <w:p>
      <w:pPr>
        <w:spacing w:after="140" w:line="288"/>
      </w:pPr>
      <w:r>
        <w:rPr>
          <w:rFonts w:ascii="Malgun Gothic" w:cs="Malgun Gothic" w:eastAsia="Malgun Gothic" w:hAnsi="Malgun Gothic"/>
          <w:sz w:val="19"/>
          <w:szCs w:val="19"/>
        </w:rPr>
        <w:t xml:space="preserve">FY2025 감사보고서 주석 35에 따르면, 1차 처분 취소소송은 2025년 9월 25일 대법원이 증선위의 상고를 기각해 </w:t>
      </w:r>
      <w:r>
        <w:rPr>
          <w:rFonts w:ascii="Malgun Gothic" w:cs="Malgun Gothic" w:eastAsia="Malgun Gothic" w:hAnsi="Malgun Gothic"/>
          <w:b/>
          <w:bCs/>
          <w:sz w:val="19"/>
          <w:szCs w:val="19"/>
        </w:rPr>
        <w:t xml:space="preserve">회사의 청구가 전부 받아들여진 상태로 확정</w:t>
      </w:r>
      <w:r>
        <w:rPr>
          <w:rFonts w:ascii="Malgun Gothic" w:cs="Malgun Gothic" w:eastAsia="Malgun Gothic" w:hAnsi="Malgun Gothic"/>
          <w:sz w:val="19"/>
          <w:szCs w:val="19"/>
        </w:rPr>
        <w:t xml:space="preserve">되었습니다. 2차 처분 취소소송은 2024년 8월 14일 서울행정법원이 처분을 취소했고, 증선위가 항소해 계속 중입니다.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기준 6은 경영진의 정직성을 묻는 항목이기도 합니다. 회계처리의 적정성을 두고 7년간 다툼이 있었다는 사실 자체는 기록해야 하고, 법원이 회사 손을 들어줬다는 사실도 똑같이 기록해야 합니다. 어느 한쪽만 적으면 편향입니다.</w:t>
      </w:r>
    </w:p>
    <w:p>
      <w:pPr>
        <w:spacing w:after="140" w:line="288"/>
      </w:pPr>
      <w:r>
        <w:rPr>
          <w:rFonts w:ascii="Malgun Gothic" w:cs="Malgun Gothic" w:eastAsia="Malgun Gothic" w:hAnsi="Malgun Gothic"/>
          <w:b/>
          <w:bCs/>
          <w:sz w:val="19"/>
          <w:szCs w:val="19"/>
        </w:rPr>
        <w:t xml:space="preserve">판정: 조건부 통과.</w:t>
      </w:r>
      <w:r>
        <w:rPr>
          <w:rFonts w:ascii="Malgun Gothic" w:cs="Malgun Gothic" w:eastAsia="Malgun Gothic" w:hAnsi="Malgun Gothic"/>
          <w:sz w:val="19"/>
          <w:szCs w:val="19"/>
        </w:rPr>
        <w:t xml:space="preserve"> 현금이 이익을 뒷받침하고 법적 분쟁은 회사에 유리하게 정리되고 있습니다. 다만 10년간 주주에게 남은 현금이 사실상 0이었다는 사실, 재고 증가 속도, 공급자금융을 통한 현금흐름 왜곡은 계속 봐야 할 항목입니다.</w:t>
      </w:r>
    </w:p>
    <w:p>
      <w:pPr>
        <w:pStyle w:val="Heading1"/>
        <w:spacing w:after="160" w:before="400"/>
      </w:pPr>
      <w:r>
        <w:rPr>
          <w:rFonts w:ascii="Malgun Gothic" w:cs="Malgun Gothic" w:eastAsia="Malgun Gothic" w:hAnsi="Malgun Gothic"/>
          <w:b/>
          <w:bCs/>
          <w:color w:val="1F3864"/>
          <w:sz w:val="28"/>
          <w:szCs w:val="28"/>
        </w:rPr>
        <w:t xml:space="preserve">9. 기준 7 — 가격</w:t>
      </w:r>
    </w:p>
    <w:p>
      <w:pPr>
        <w:pStyle w:val="Heading2"/>
        <w:spacing w:after="120" w:before="300"/>
      </w:pPr>
      <w:r>
        <w:rPr>
          <w:rFonts w:ascii="Malgun Gothic" w:cs="Malgun Gothic" w:eastAsia="Malgun Gothic" w:hAnsi="Malgun Gothic"/>
          <w:b/>
          <w:bCs/>
          <w:color w:val="1F3864"/>
          <w:sz w:val="23"/>
          <w:szCs w:val="23"/>
        </w:rPr>
        <w:t xml:space="preserve">기준연도를 무엇으로 잡는가</w:t>
      </w:r>
    </w:p>
    <w:p>
      <w:pPr>
        <w:spacing w:after="140" w:line="288"/>
      </w:pPr>
      <w:r>
        <w:rPr>
          <w:rFonts w:ascii="Malgun Gothic" w:cs="Malgun Gothic" w:eastAsia="Malgun Gothic" w:hAnsi="Malgun Gothic"/>
          <w:sz w:val="19"/>
          <w:szCs w:val="19"/>
        </w:rPr>
        <w:t xml:space="preserve">이 회사는 매출의 92%를 해외에서 벌고 원가는 대부분 원화로 씁니다. 원/달러 평균환율은 FY2025 1,421.4원, 2026년 상반기 1,482.0원이었고 현재(2026년 9월) 1,358.5원입니다. 2026년 6월 1,529.5원에서 3개월 만에 11% 절상되었습니다. 이미 시장이 떠난 환율을 자본화하는 것은 보수적인 것이 아니라 틀린 것이므로, 기준연도를 세 가지로 계산합니다.</w:t>
      </w:r>
    </w:p>
    <w:tbl>
      <w:tblPr>
        <w:tblW w:type="dxa" w:w="9360"/>
        <w:tblBorders>
          <w:top w:val="single" w:color="BFBFBF" w:sz="2"/>
          <w:left w:val="none"/>
          <w:bottom w:val="single" w:color="BFBFBF" w:sz="2"/>
          <w:right w:val="none"/>
          <w:insideH w:val="single" w:color="D9D9D9" w:sz="1"/>
          <w:insideV w:val="none"/>
        </w:tblBorders>
      </w:tblPr>
      <w:tblGrid>
        <w:gridCol w:w="2925"/>
        <w:gridCol w:w="1365"/>
        <w:gridCol w:w="1365"/>
        <w:gridCol w:w="1170"/>
        <w:gridCol w:w="1170"/>
        <w:gridCol w:w="1365"/>
      </w:tblGrid>
      <w:tr>
        <w:trPr>
          <w:tblHeader/>
        </w:trPr>
        <w:tc>
          <w:tcPr>
            <w:tcW w:type="dxa" w:w="292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기준</w:t>
            </w:r>
          </w:p>
        </w:tc>
        <w:tc>
          <w:tcPr>
            <w:tcW w:type="dxa" w:w="136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매출</w:t>
            </w:r>
          </w:p>
        </w:tc>
        <w:tc>
          <w:tcPr>
            <w:tcW w:type="dxa" w:w="136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영업이익</w:t>
            </w:r>
          </w:p>
        </w:tc>
        <w:tc>
          <w:tcPr>
            <w:tcW w:type="dxa" w:w="117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영업이익률</w:t>
            </w:r>
          </w:p>
        </w:tc>
        <w:tc>
          <w:tcPr>
            <w:tcW w:type="dxa" w:w="117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실효세율</w:t>
            </w:r>
          </w:p>
        </w:tc>
        <w:tc>
          <w:tcPr>
            <w:tcW w:type="dxa" w:w="136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NOPAT</w:t>
            </w:r>
          </w:p>
        </w:tc>
      </w:tr>
      <w:tr>
        <w:tc>
          <w:tcPr>
            <w:tcW w:type="dxa" w:w="292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 실적 기준</w:t>
            </w:r>
          </w:p>
        </w:tc>
        <w:tc>
          <w:tcPr>
            <w:tcW w:type="dxa" w:w="136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4.56조원</w:t>
            </w:r>
          </w:p>
        </w:tc>
        <w:tc>
          <w:tcPr>
            <w:tcW w:type="dxa" w:w="136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2.07조원</w:t>
            </w:r>
          </w:p>
        </w:tc>
        <w:tc>
          <w:tcPr>
            <w:tcW w:type="dxa" w:w="117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45.4%</w:t>
            </w:r>
          </w:p>
        </w:tc>
        <w:tc>
          <w:tcPr>
            <w:tcW w:type="dxa" w:w="117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23.7%</w:t>
            </w:r>
          </w:p>
        </w:tc>
        <w:tc>
          <w:tcPr>
            <w:tcW w:type="dxa" w:w="136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1.58조원</w:t>
            </w:r>
          </w:p>
        </w:tc>
      </w:tr>
      <w:tr>
        <w:tc>
          <w:tcPr>
            <w:tcW w:type="dxa" w:w="292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2026 상반기 연율화</w:t>
            </w:r>
          </w:p>
        </w:tc>
        <w:tc>
          <w:tcPr>
            <w:tcW w:type="dxa" w:w="136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5.16조원</w:t>
            </w:r>
          </w:p>
        </w:tc>
        <w:tc>
          <w:tcPr>
            <w:tcW w:type="dxa" w:w="136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2.33조원</w:t>
            </w:r>
          </w:p>
        </w:tc>
        <w:tc>
          <w:tcPr>
            <w:tcW w:type="dxa" w:w="117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45.3%</w:t>
            </w:r>
          </w:p>
        </w:tc>
        <w:tc>
          <w:tcPr>
            <w:tcW w:type="dxa" w:w="117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26.6%</w:t>
            </w:r>
          </w:p>
        </w:tc>
        <w:tc>
          <w:tcPr>
            <w:tcW w:type="dxa" w:w="136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1.71조원</w:t>
            </w:r>
          </w:p>
        </w:tc>
      </w:tr>
      <w:tr>
        <w:tc>
          <w:tcPr>
            <w:tcW w:type="dxa" w:w="292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2026 상반기 연율화 · 현재 환율로 환산</w:t>
            </w:r>
          </w:p>
        </w:tc>
        <w:tc>
          <w:tcPr>
            <w:tcW w:type="dxa" w:w="136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4.76조원</w:t>
            </w:r>
          </w:p>
        </w:tc>
        <w:tc>
          <w:tcPr>
            <w:tcW w:type="dxa" w:w="136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2.01조원</w:t>
            </w:r>
          </w:p>
        </w:tc>
        <w:tc>
          <w:tcPr>
            <w:tcW w:type="dxa" w:w="117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42.2%</w:t>
            </w:r>
          </w:p>
        </w:tc>
        <w:tc>
          <w:tcPr>
            <w:tcW w:type="dxa" w:w="117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26.6%</w:t>
            </w:r>
          </w:p>
        </w:tc>
        <w:tc>
          <w:tcPr>
            <w:tcW w:type="dxa" w:w="136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1.48조원</w:t>
            </w:r>
          </w:p>
        </w:tc>
      </w:tr>
    </w:tbl>
    <w:p>
      <w:pPr>
        <w:spacing w:after="200"/>
      </w:pPr>
    </w:p>
    <w:p>
      <w:pPr>
        <w:spacing w:after="140" w:line="288"/>
      </w:pPr>
      <w:r>
        <w:rPr>
          <w:rFonts w:ascii="Malgun Gothic" w:cs="Malgun Gothic" w:eastAsia="Malgun Gothic" w:hAnsi="Malgun Gothic"/>
          <w:sz w:val="19"/>
          <w:szCs w:val="19"/>
        </w:rPr>
        <w:t xml:space="preserve">환산에는 해외매출 비중 91.8%와 원가 중 외화연동 비중 30% 가정을 썼습니다. 배양액·레진·일회용 자재는 달러로 수입하고 인건비·감가상각·전력은 원화이므로 전액 원화도 전액 외화도 아닙니다. 회사가 이 비율을 공시하지 않으므로 가정이며, 0%~60%로 흔들어보면 FY2026 연율 영업이익은 1.94조~2.08조원 사이에서 움직입니다. 결론을 바꾸는 크기가 아닙니다.</w:t>
      </w:r>
    </w:p>
    <w:p>
      <w:pPr>
        <w:pStyle w:val="Heading3"/>
        <w:spacing w:after="100" w:before="240"/>
      </w:pPr>
      <w:r>
        <w:rPr>
          <w:rFonts w:ascii="Malgun Gothic" w:cs="Malgun Gothic" w:eastAsia="Malgun Gothic" w:hAnsi="Malgun Gothic"/>
          <w:b/>
          <w:bCs/>
          <w:color w:val="8B3A2F"/>
          <w:sz w:val="20"/>
          <w:szCs w:val="20"/>
        </w:rPr>
        <w:t xml:space="preserve">환율이 얼마면 실적이 얼마인가</w:t>
      </w:r>
    </w:p>
    <w:tbl>
      <w:tblPr>
        <w:tblW w:type="dxa" w:w="9360"/>
        <w:tblBorders>
          <w:top w:val="single" w:color="BFBFBF" w:sz="2"/>
          <w:left w:val="none"/>
          <w:bottom w:val="single" w:color="BFBFBF" w:sz="2"/>
          <w:right w:val="none"/>
          <w:insideH w:val="single" w:color="D9D9D9" w:sz="1"/>
          <w:insideV w:val="none"/>
        </w:tblBorders>
      </w:tblPr>
      <w:tblGrid>
        <w:gridCol w:w="1598"/>
        <w:gridCol w:w="2055"/>
        <w:gridCol w:w="2055"/>
        <w:gridCol w:w="1598"/>
        <w:gridCol w:w="2055"/>
      </w:tblGrid>
      <w:tr>
        <w:trPr>
          <w:tblHeader/>
        </w:trPr>
        <w:tc>
          <w:tcPr>
            <w:tcW w:type="dxa" w:w="15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원/달러</w:t>
            </w:r>
          </w:p>
        </w:tc>
        <w:tc>
          <w:tcPr>
            <w:tcW w:type="dxa" w:w="205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매출(연율)</w:t>
            </w:r>
          </w:p>
        </w:tc>
        <w:tc>
          <w:tcPr>
            <w:tcW w:type="dxa" w:w="205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영업이익(연율)</w:t>
            </w:r>
          </w:p>
        </w:tc>
        <w:tc>
          <w:tcPr>
            <w:tcW w:type="dxa" w:w="15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영업이익률</w:t>
            </w:r>
          </w:p>
        </w:tc>
        <w:tc>
          <w:tcPr>
            <w:tcW w:type="dxa" w:w="205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NOPAT(연율)</w:t>
            </w:r>
          </w:p>
        </w:tc>
      </w:tr>
      <w:tr>
        <w:tc>
          <w:tcPr>
            <w:tcW w:type="dxa" w:w="15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1,200.0</w:t>
            </w:r>
          </w:p>
        </w:tc>
        <w:tc>
          <w:tcPr>
            <w:tcW w:type="dxa" w:w="205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4.26조원</w:t>
            </w:r>
          </w:p>
        </w:tc>
        <w:tc>
          <w:tcPr>
            <w:tcW w:type="dxa" w:w="205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1.59조원</w:t>
            </w:r>
          </w:p>
        </w:tc>
        <w:tc>
          <w:tcPr>
            <w:tcW w:type="dxa" w:w="15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37.5%</w:t>
            </w:r>
          </w:p>
        </w:tc>
        <w:tc>
          <w:tcPr>
            <w:tcW w:type="dxa" w:w="205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1.17조원</w:t>
            </w:r>
          </w:p>
        </w:tc>
      </w:tr>
      <w:tr>
        <w:tc>
          <w:tcPr>
            <w:tcW w:type="dxa" w:w="15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1,250.0</w:t>
            </w:r>
          </w:p>
        </w:tc>
        <w:tc>
          <w:tcPr>
            <w:tcW w:type="dxa" w:w="205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4.41조원</w:t>
            </w:r>
          </w:p>
        </w:tc>
        <w:tc>
          <w:tcPr>
            <w:tcW w:type="dxa" w:w="205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1.73조원</w:t>
            </w:r>
          </w:p>
        </w:tc>
        <w:tc>
          <w:tcPr>
            <w:tcW w:type="dxa" w:w="15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39.1%</w:t>
            </w:r>
          </w:p>
        </w:tc>
        <w:tc>
          <w:tcPr>
            <w:tcW w:type="dxa" w:w="205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1.27조원</w:t>
            </w:r>
          </w:p>
        </w:tc>
      </w:tr>
      <w:tr>
        <w:tc>
          <w:tcPr>
            <w:tcW w:type="dxa" w:w="15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1,300.0</w:t>
            </w:r>
          </w:p>
        </w:tc>
        <w:tc>
          <w:tcPr>
            <w:tcW w:type="dxa" w:w="205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4.57조원</w:t>
            </w:r>
          </w:p>
        </w:tc>
        <w:tc>
          <w:tcPr>
            <w:tcW w:type="dxa" w:w="205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1.86조원</w:t>
            </w:r>
          </w:p>
        </w:tc>
        <w:tc>
          <w:tcPr>
            <w:tcW w:type="dxa" w:w="15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40.6%</w:t>
            </w:r>
          </w:p>
        </w:tc>
        <w:tc>
          <w:tcPr>
            <w:tcW w:type="dxa" w:w="205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1.36조원</w:t>
            </w:r>
          </w:p>
        </w:tc>
      </w:tr>
      <w:tr>
        <w:tc>
          <w:tcPr>
            <w:tcW w:type="dxa" w:w="15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1,358.5</w:t>
            </w:r>
          </w:p>
        </w:tc>
        <w:tc>
          <w:tcPr>
            <w:tcW w:type="dxa" w:w="205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4.76조원</w:t>
            </w:r>
          </w:p>
        </w:tc>
        <w:tc>
          <w:tcPr>
            <w:tcW w:type="dxa" w:w="205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2.01조원</w:t>
            </w:r>
          </w:p>
        </w:tc>
        <w:tc>
          <w:tcPr>
            <w:tcW w:type="dxa" w:w="15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42.2%</w:t>
            </w:r>
          </w:p>
        </w:tc>
        <w:tc>
          <w:tcPr>
            <w:tcW w:type="dxa" w:w="205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1.48조원</w:t>
            </w:r>
          </w:p>
        </w:tc>
      </w:tr>
      <w:tr>
        <w:tc>
          <w:tcPr>
            <w:tcW w:type="dxa" w:w="15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1,400.0</w:t>
            </w:r>
          </w:p>
        </w:tc>
        <w:tc>
          <w:tcPr>
            <w:tcW w:type="dxa" w:w="205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4.89조원</w:t>
            </w:r>
          </w:p>
        </w:tc>
        <w:tc>
          <w:tcPr>
            <w:tcW w:type="dxa" w:w="205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2.12조원</w:t>
            </w:r>
          </w:p>
        </w:tc>
        <w:tc>
          <w:tcPr>
            <w:tcW w:type="dxa" w:w="15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43.3%</w:t>
            </w:r>
          </w:p>
        </w:tc>
        <w:tc>
          <w:tcPr>
            <w:tcW w:type="dxa" w:w="205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1.56조원</w:t>
            </w:r>
          </w:p>
        </w:tc>
      </w:tr>
      <w:tr>
        <w:tc>
          <w:tcPr>
            <w:tcW w:type="dxa" w:w="15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1,450.0</w:t>
            </w:r>
          </w:p>
        </w:tc>
        <w:tc>
          <w:tcPr>
            <w:tcW w:type="dxa" w:w="205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5.05조원</w:t>
            </w:r>
          </w:p>
        </w:tc>
        <w:tc>
          <w:tcPr>
            <w:tcW w:type="dxa" w:w="205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2.25조원</w:t>
            </w:r>
          </w:p>
        </w:tc>
        <w:tc>
          <w:tcPr>
            <w:tcW w:type="dxa" w:w="15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44.5%</w:t>
            </w:r>
          </w:p>
        </w:tc>
        <w:tc>
          <w:tcPr>
            <w:tcW w:type="dxa" w:w="205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1.65조원</w:t>
            </w:r>
          </w:p>
        </w:tc>
      </w:tr>
      <w:tr>
        <w:tc>
          <w:tcPr>
            <w:tcW w:type="dxa" w:w="15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1,482.0</w:t>
            </w:r>
          </w:p>
        </w:tc>
        <w:tc>
          <w:tcPr>
            <w:tcW w:type="dxa" w:w="205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5.16조원</w:t>
            </w:r>
          </w:p>
        </w:tc>
        <w:tc>
          <w:tcPr>
            <w:tcW w:type="dxa" w:w="205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2.33조원</w:t>
            </w:r>
          </w:p>
        </w:tc>
        <w:tc>
          <w:tcPr>
            <w:tcW w:type="dxa" w:w="15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45.3%</w:t>
            </w:r>
          </w:p>
        </w:tc>
        <w:tc>
          <w:tcPr>
            <w:tcW w:type="dxa" w:w="205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1.71조원</w:t>
            </w:r>
          </w:p>
        </w:tc>
      </w:tr>
      <w:tr>
        <w:tc>
          <w:tcPr>
            <w:tcW w:type="dxa" w:w="15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1,550.0</w:t>
            </w:r>
          </w:p>
        </w:tc>
        <w:tc>
          <w:tcPr>
            <w:tcW w:type="dxa" w:w="205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5.37조원</w:t>
            </w:r>
          </w:p>
        </w:tc>
        <w:tc>
          <w:tcPr>
            <w:tcW w:type="dxa" w:w="205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2.51조원</w:t>
            </w:r>
          </w:p>
        </w:tc>
        <w:tc>
          <w:tcPr>
            <w:tcW w:type="dxa" w:w="15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46.8%</w:t>
            </w:r>
          </w:p>
        </w:tc>
        <w:tc>
          <w:tcPr>
            <w:tcW w:type="dxa" w:w="205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1.85조원</w:t>
            </w:r>
          </w:p>
        </w:tc>
      </w:tr>
    </w:tbl>
    <w:p>
      <w:pPr>
        <w:spacing w:after="200"/>
      </w:pP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환율이 1,200원으로 돌아가면 NOPAT은 1.17조원으로, 현재 환율 기준 1.48조원 대비 21% 줄어듭니다. 이 회사에 대한 투자는 상당 부분 '원화가 약세로 유지된다'는 데 대한 투자입니다.</w:t>
      </w:r>
    </w:p>
    <w:p>
      <w:pPr>
        <w:pStyle w:val="Heading2"/>
        <w:spacing w:after="120" w:before="300"/>
      </w:pPr>
      <w:r>
        <w:rPr>
          <w:rFonts w:ascii="Malgun Gothic" w:cs="Malgun Gothic" w:eastAsia="Malgun Gothic" w:hAnsi="Malgun Gothic"/>
          <w:b/>
          <w:bCs/>
          <w:color w:val="1F3864"/>
          <w:sz w:val="23"/>
          <w:szCs w:val="23"/>
        </w:rPr>
        <w:t xml:space="preserve">세 시나리오</w:t>
      </w:r>
    </w:p>
    <w:p>
      <w:pPr>
        <w:spacing w:after="140" w:line="288"/>
      </w:pPr>
      <w:r>
        <w:rPr>
          <w:rFonts w:ascii="Malgun Gothic" w:cs="Malgun Gothic" w:eastAsia="Malgun Gothic" w:hAnsi="Malgun Gothic"/>
          <w:sz w:val="19"/>
          <w:szCs w:val="19"/>
        </w:rPr>
        <w:t xml:space="preserve">성장률은 실적에 맞춰 잡았습니다. 느낌상 신중해 보이는 숫자를 쓰면 분석이 아니라 희망이 됩니다.</w:t>
      </w:r>
    </w:p>
    <w:p>
      <w:pPr>
        <w:pStyle w:val="Heading3"/>
        <w:spacing w:after="100" w:before="240"/>
      </w:pPr>
      <w:r>
        <w:rPr>
          <w:rFonts w:ascii="Malgun Gothic" w:cs="Malgun Gothic" w:eastAsia="Malgun Gothic" w:hAnsi="Malgun Gothic"/>
          <w:b/>
          <w:bCs/>
          <w:color w:val="8B3A2F"/>
          <w:sz w:val="20"/>
          <w:szCs w:val="20"/>
        </w:rPr>
        <w:t xml:space="preserve">보수 시나리오</w:t>
      </w:r>
    </w:p>
    <w:p>
      <w:pPr>
        <w:spacing w:after="140" w:line="288"/>
      </w:pPr>
      <w:r>
        <w:rPr>
          <w:rFonts w:ascii="Malgun Gothic" w:cs="Malgun Gothic" w:eastAsia="Malgun Gothic" w:hAnsi="Malgun Gothic"/>
          <w:sz w:val="19"/>
          <w:szCs w:val="19"/>
        </w:rPr>
        <w:t xml:space="preserve">증설을 멈추고 기존 공장의 가동률·가격·믹스 개선만으로 성장. 증분 ROIC은 실측 5년 구간 최저치(24.9%)보다 크게 낮은 15%를 적용.</w:t>
      </w:r>
    </w:p>
    <w:p>
      <w:pPr>
        <w:pStyle w:val="ListParagraph"/>
        <w:numPr>
          <w:ilvl w:val="0"/>
          <w:numId w:val="2"/>
        </w:numPr>
        <w:spacing w:after="120" w:line="284"/>
      </w:pPr>
      <w:r>
        <w:rPr>
          <w:rFonts w:ascii="Malgun Gothic" w:cs="Malgun Gothic" w:eastAsia="Malgun Gothic" w:hAnsi="Malgun Gothic"/>
          <w:sz w:val="19"/>
          <w:szCs w:val="19"/>
        </w:rPr>
        <w:t xml:space="preserve">가정: 첫해 성장률 8.0% → 10년차 2.5%, 증분 ROIC 15.0%, 할인율 11.0%, 영구성장률 2.0%</w:t>
      </w:r>
    </w:p>
    <w:p>
      <w:pPr>
        <w:pStyle w:val="ListParagraph"/>
        <w:numPr>
          <w:ilvl w:val="0"/>
          <w:numId w:val="2"/>
        </w:numPr>
        <w:spacing w:after="120" w:line="284"/>
      </w:pPr>
      <w:r>
        <w:rPr>
          <w:rFonts w:ascii="Malgun Gothic" w:cs="Malgun Gothic" w:eastAsia="Malgun Gothic" w:hAnsi="Malgun Gothic"/>
          <w:sz w:val="19"/>
          <w:szCs w:val="19"/>
        </w:rPr>
        <w:t xml:space="preserve">1년차 재투자율 53.3% — 세후영업이익의 이만큼이 공장으로 다시 들어가고 46.7%만 주주 몫으로 남습니다</w:t>
      </w:r>
    </w:p>
    <w:p>
      <w:pPr>
        <w:pStyle w:val="ListParagraph"/>
        <w:numPr>
          <w:ilvl w:val="0"/>
          <w:numId w:val="2"/>
        </w:numPr>
        <w:spacing w:after="120" w:line="284"/>
      </w:pPr>
      <w:r>
        <w:rPr>
          <w:rFonts w:ascii="Malgun Gothic" w:cs="Malgun Gothic" w:eastAsia="Malgun Gothic" w:hAnsi="Malgun Gothic"/>
          <w:sz w:val="19"/>
          <w:szCs w:val="19"/>
        </w:rPr>
        <w:t xml:space="preserve">10년 누적 재투자 6.92조원 (누적 NOPAT의 33%), 투하자본 2.0배, 연평균 설비투자는 FY2025의 0.8배</w:t>
      </w:r>
    </w:p>
    <w:p>
      <w:pPr>
        <w:pStyle w:val="ListParagraph"/>
        <w:numPr>
          <w:ilvl w:val="0"/>
          <w:numId w:val="2"/>
        </w:numPr>
        <w:spacing w:after="120" w:line="284"/>
      </w:pPr>
      <w:r>
        <w:rPr>
          <w:rFonts w:ascii="Malgun Gothic" w:cs="Malgun Gothic" w:eastAsia="Malgun Gothic" w:hAnsi="Malgun Gothic"/>
          <w:sz w:val="19"/>
          <w:szCs w:val="19"/>
        </w:rPr>
        <w:t xml:space="preserve">10년 뒤 매출 7.93조원 (현재 환율로 약 58억 달러)</w:t>
      </w:r>
    </w:p>
    <w:p>
      <w:pPr>
        <w:pStyle w:val="ListParagraph"/>
        <w:numPr>
          <w:ilvl w:val="0"/>
          <w:numId w:val="2"/>
        </w:numPr>
        <w:spacing w:after="120" w:line="284"/>
      </w:pPr>
      <w:r>
        <w:rPr>
          <w:rFonts w:ascii="Malgun Gothic" w:cs="Malgun Gothic" w:eastAsia="Malgun Gothic" w:hAnsi="Malgun Gothic"/>
          <w:b/>
          <w:bCs/>
          <w:sz w:val="19"/>
          <w:szCs w:val="19"/>
        </w:rPr>
        <w:t xml:space="preserve">기업가치 16.41조원, 주당 354,996원, 시장가 대비 -74.8%</w:t>
      </w:r>
    </w:p>
    <w:p>
      <w:pPr>
        <w:pStyle w:val="ListParagraph"/>
        <w:numPr>
          <w:ilvl w:val="0"/>
          <w:numId w:val="2"/>
        </w:numPr>
        <w:spacing w:after="120" w:line="284"/>
      </w:pPr>
      <w:r>
        <w:rPr>
          <w:rFonts w:ascii="Malgun Gothic" w:cs="Malgun Gothic" w:eastAsia="Malgun Gothic" w:hAnsi="Malgun Gothic"/>
          <w:sz w:val="19"/>
          <w:szCs w:val="19"/>
        </w:rPr>
        <w:t xml:space="preserve">터미널 가치 비중 53.5%</w:t>
      </w:r>
    </w:p>
    <w:p>
      <w:pPr>
        <w:pStyle w:val="Heading3"/>
        <w:spacing w:after="100" w:before="240"/>
      </w:pPr>
      <w:r>
        <w:rPr>
          <w:rFonts w:ascii="Malgun Gothic" w:cs="Malgun Gothic" w:eastAsia="Malgun Gothic" w:hAnsi="Malgun Gothic"/>
          <w:b/>
          <w:bCs/>
          <w:color w:val="8B3A2F"/>
          <w:sz w:val="20"/>
          <w:szCs w:val="20"/>
        </w:rPr>
        <w:t xml:space="preserve">중립 시나리오</w:t>
      </w:r>
    </w:p>
    <w:p>
      <w:pPr>
        <w:spacing w:after="140" w:line="288"/>
      </w:pPr>
      <w:r>
        <w:rPr>
          <w:rFonts w:ascii="Malgun Gothic" w:cs="Malgun Gothic" w:eastAsia="Malgun Gothic" w:hAnsi="Malgun Gothic"/>
          <w:sz w:val="19"/>
          <w:szCs w:val="19"/>
        </w:rPr>
        <w:t xml:space="preserve">증설을 계속하되 10년에 걸쳐 성장률이 GDP 수준으로 수렴. 증분 ROIC 20%는 실측 구간(24.9~29.7%) 하단 아래.</w:t>
      </w:r>
    </w:p>
    <w:p>
      <w:pPr>
        <w:pStyle w:val="ListParagraph"/>
        <w:numPr>
          <w:ilvl w:val="0"/>
          <w:numId w:val="2"/>
        </w:numPr>
        <w:spacing w:after="120" w:line="284"/>
      </w:pPr>
      <w:r>
        <w:rPr>
          <w:rFonts w:ascii="Malgun Gothic" w:cs="Malgun Gothic" w:eastAsia="Malgun Gothic" w:hAnsi="Malgun Gothic"/>
          <w:sz w:val="19"/>
          <w:szCs w:val="19"/>
        </w:rPr>
        <w:t xml:space="preserve">가정: 첫해 성장률 15.0% → 10년차 4.0%, 증분 ROIC 20.0%, 할인율 10.0%, 영구성장률 2.5%</w:t>
      </w:r>
    </w:p>
    <w:p>
      <w:pPr>
        <w:pStyle w:val="ListParagraph"/>
        <w:numPr>
          <w:ilvl w:val="0"/>
          <w:numId w:val="2"/>
        </w:numPr>
        <w:spacing w:after="120" w:line="284"/>
      </w:pPr>
      <w:r>
        <w:rPr>
          <w:rFonts w:ascii="Malgun Gothic" w:cs="Malgun Gothic" w:eastAsia="Malgun Gothic" w:hAnsi="Malgun Gothic"/>
          <w:sz w:val="19"/>
          <w:szCs w:val="19"/>
        </w:rPr>
        <w:t xml:space="preserve">1년차 재투자율 75.0% — 세후영업이익의 이만큼이 공장으로 다시 들어가고 25.0%만 주주 몫으로 남습니다</w:t>
      </w:r>
    </w:p>
    <w:p>
      <w:pPr>
        <w:pStyle w:val="ListParagraph"/>
        <w:numPr>
          <w:ilvl w:val="0"/>
          <w:numId w:val="2"/>
        </w:numPr>
        <w:spacing w:after="120" w:line="284"/>
      </w:pPr>
      <w:r>
        <w:rPr>
          <w:rFonts w:ascii="Malgun Gothic" w:cs="Malgun Gothic" w:eastAsia="Malgun Gothic" w:hAnsi="Malgun Gothic"/>
          <w:sz w:val="19"/>
          <w:szCs w:val="19"/>
        </w:rPr>
        <w:t xml:space="preserve">10년 누적 재투자 11.89조원 (누적 NOPAT의 43%), 투하자본 2.7배, 연평균 설비투자는 FY2025의 1.1배</w:t>
      </w:r>
    </w:p>
    <w:p>
      <w:pPr>
        <w:pStyle w:val="ListParagraph"/>
        <w:numPr>
          <w:ilvl w:val="0"/>
          <w:numId w:val="2"/>
        </w:numPr>
        <w:spacing w:after="120" w:line="284"/>
      </w:pPr>
      <w:r>
        <w:rPr>
          <w:rFonts w:ascii="Malgun Gothic" w:cs="Malgun Gothic" w:eastAsia="Malgun Gothic" w:hAnsi="Malgun Gothic"/>
          <w:sz w:val="19"/>
          <w:szCs w:val="19"/>
        </w:rPr>
        <w:t xml:space="preserve">10년 뒤 매출 11.74조원 (현재 환율로 약 86억 달러)</w:t>
      </w:r>
    </w:p>
    <w:p>
      <w:pPr>
        <w:pStyle w:val="ListParagraph"/>
        <w:numPr>
          <w:ilvl w:val="0"/>
          <w:numId w:val="2"/>
        </w:numPr>
        <w:spacing w:after="120" w:line="284"/>
      </w:pPr>
      <w:r>
        <w:rPr>
          <w:rFonts w:ascii="Malgun Gothic" w:cs="Malgun Gothic" w:eastAsia="Malgun Gothic" w:hAnsi="Malgun Gothic"/>
          <w:b/>
          <w:bCs/>
          <w:sz w:val="19"/>
          <w:szCs w:val="19"/>
        </w:rPr>
        <w:t xml:space="preserve">기업가치 25.50조원, 주당 551,391원, 시장가 대비 -60.8%</w:t>
      </w:r>
    </w:p>
    <w:p>
      <w:pPr>
        <w:pStyle w:val="ListParagraph"/>
        <w:numPr>
          <w:ilvl w:val="0"/>
          <w:numId w:val="2"/>
        </w:numPr>
        <w:spacing w:after="120" w:line="284"/>
      </w:pPr>
      <w:r>
        <w:rPr>
          <w:rFonts w:ascii="Malgun Gothic" w:cs="Malgun Gothic" w:eastAsia="Malgun Gothic" w:hAnsi="Malgun Gothic"/>
          <w:sz w:val="19"/>
          <w:szCs w:val="19"/>
        </w:rPr>
        <w:t xml:space="preserve">터미널 가치 비중 67.2%</w:t>
      </w:r>
    </w:p>
    <w:p>
      <w:pPr>
        <w:pStyle w:val="Heading3"/>
        <w:spacing w:after="100" w:before="240"/>
      </w:pPr>
      <w:r>
        <w:rPr>
          <w:rFonts w:ascii="Malgun Gothic" w:cs="Malgun Gothic" w:eastAsia="Malgun Gothic" w:hAnsi="Malgun Gothic"/>
          <w:b/>
          <w:bCs/>
          <w:color w:val="8B3A2F"/>
          <w:sz w:val="20"/>
          <w:szCs w:val="20"/>
        </w:rPr>
        <w:t xml:space="preserve">낙관 시나리오</w:t>
      </w:r>
    </w:p>
    <w:p>
      <w:pPr>
        <w:spacing w:after="140" w:line="288"/>
      </w:pPr>
      <w:r>
        <w:rPr>
          <w:rFonts w:ascii="Malgun Gothic" w:cs="Malgun Gothic" w:eastAsia="Malgun Gothic" w:hAnsi="Malgun Gothic"/>
          <w:sz w:val="19"/>
          <w:szCs w:val="19"/>
        </w:rPr>
        <w:t xml:space="preserve">최근 5년 실적(매출 CAGR 31.4%, 2026 상반기 +28.0%)의 하단에서 출발해 10년간 체감. 증분 ROIC 26%는 FY2020→FY2025 실측치(27.6%)에 근접.</w:t>
      </w:r>
    </w:p>
    <w:p>
      <w:pPr>
        <w:pStyle w:val="ListParagraph"/>
        <w:numPr>
          <w:ilvl w:val="0"/>
          <w:numId w:val="2"/>
        </w:numPr>
        <w:spacing w:after="120" w:line="284"/>
      </w:pPr>
      <w:r>
        <w:rPr>
          <w:rFonts w:ascii="Malgun Gothic" w:cs="Malgun Gothic" w:eastAsia="Malgun Gothic" w:hAnsi="Malgun Gothic"/>
          <w:sz w:val="19"/>
          <w:szCs w:val="19"/>
        </w:rPr>
        <w:t xml:space="preserve">가정: 첫해 성장률 25.0% → 10년차 5.0%, 증분 ROIC 26.0%, 할인율 9.0%, 영구성장률 3.0%</w:t>
      </w:r>
    </w:p>
    <w:p>
      <w:pPr>
        <w:pStyle w:val="ListParagraph"/>
        <w:numPr>
          <w:ilvl w:val="0"/>
          <w:numId w:val="2"/>
        </w:numPr>
        <w:spacing w:after="120" w:line="284"/>
      </w:pPr>
      <w:r>
        <w:rPr>
          <w:rFonts w:ascii="Malgun Gothic" w:cs="Malgun Gothic" w:eastAsia="Malgun Gothic" w:hAnsi="Malgun Gothic"/>
          <w:sz w:val="19"/>
          <w:szCs w:val="19"/>
        </w:rPr>
        <w:t xml:space="preserve">1년차 재투자율 96.2% — 세후영업이익의 이만큼이 공장으로 다시 들어가고 3.8%만 주주 몫으로 남습니다</w:t>
      </w:r>
    </w:p>
    <w:p>
      <w:pPr>
        <w:pStyle w:val="ListParagraph"/>
        <w:numPr>
          <w:ilvl w:val="0"/>
          <w:numId w:val="2"/>
        </w:numPr>
        <w:spacing w:after="120" w:line="284"/>
      </w:pPr>
      <w:r>
        <w:rPr>
          <w:rFonts w:ascii="Malgun Gothic" w:cs="Malgun Gothic" w:eastAsia="Malgun Gothic" w:hAnsi="Malgun Gothic"/>
          <w:sz w:val="19"/>
          <w:szCs w:val="19"/>
        </w:rPr>
        <w:t xml:space="preserve">10년 누적 재투자 19.54조원 (누적 NOPAT의 49%), 투하자본 3.7배, 연평균 설비투자는 FY2025의 1.7배</w:t>
      </w:r>
    </w:p>
    <w:p>
      <w:pPr>
        <w:pStyle w:val="ListParagraph"/>
        <w:numPr>
          <w:ilvl w:val="0"/>
          <w:numId w:val="2"/>
        </w:numPr>
        <w:spacing w:after="120" w:line="284"/>
      </w:pPr>
      <w:r>
        <w:rPr>
          <w:rFonts w:ascii="Malgun Gothic" w:cs="Malgun Gothic" w:eastAsia="Malgun Gothic" w:hAnsi="Malgun Gothic"/>
          <w:sz w:val="19"/>
          <w:szCs w:val="19"/>
        </w:rPr>
        <w:t xml:space="preserve">10년 뒤 매출 18.97조원 (현재 환율로 약 140억 달러)</w:t>
      </w:r>
    </w:p>
    <w:p>
      <w:pPr>
        <w:pStyle w:val="ListParagraph"/>
        <w:numPr>
          <w:ilvl w:val="0"/>
          <w:numId w:val="2"/>
        </w:numPr>
        <w:spacing w:after="120" w:line="284"/>
      </w:pPr>
      <w:r>
        <w:rPr>
          <w:rFonts w:ascii="Malgun Gothic" w:cs="Malgun Gothic" w:eastAsia="Malgun Gothic" w:hAnsi="Malgun Gothic"/>
          <w:b/>
          <w:bCs/>
          <w:sz w:val="19"/>
          <w:szCs w:val="19"/>
        </w:rPr>
        <w:t xml:space="preserve">기업가치 48.76조원, 주당 1,054,471원, 시장가 대비 -25.1%</w:t>
      </w:r>
    </w:p>
    <w:p>
      <w:pPr>
        <w:pStyle w:val="ListParagraph"/>
        <w:numPr>
          <w:ilvl w:val="0"/>
          <w:numId w:val="2"/>
        </w:numPr>
        <w:spacing w:after="120" w:line="284"/>
      </w:pPr>
      <w:r>
        <w:rPr>
          <w:rFonts w:ascii="Malgun Gothic" w:cs="Malgun Gothic" w:eastAsia="Malgun Gothic" w:hAnsi="Malgun Gothic"/>
          <w:sz w:val="19"/>
          <w:szCs w:val="19"/>
        </w:rPr>
        <w:t xml:space="preserve">터미널 가치 비중 78.2%</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터미널 비중이 낙관 시나리오에서 78%까지 올라갑니다. 성장률이 높을수록 재투자로 앞단 현금흐름이 사라지고 가치가 먼 미래로 밀립니다. 78%가 10년 뒤 이후에 달려 있다는 뜻이므로, 이 시나리오는 계산 결과가 아니라 믿음의 표현에 가깝다는 점을 분명히 해둡니다.</w:t>
      </w:r>
    </w:p>
    <w:p>
      <w:pPr>
        <w:pStyle w:val="Heading2"/>
        <w:spacing w:after="120" w:before="300"/>
      </w:pPr>
      <w:r>
        <w:rPr>
          <w:rFonts w:ascii="Malgun Gothic" w:cs="Malgun Gothic" w:eastAsia="Malgun Gothic" w:hAnsi="Malgun Gothic"/>
          <w:b/>
          <w:bCs/>
          <w:color w:val="1F3864"/>
          <w:sz w:val="23"/>
          <w:szCs w:val="23"/>
        </w:rPr>
        <w:t xml:space="preserve">세 기준연도 × 세 시나리오 전체</w:t>
      </w:r>
    </w:p>
    <w:tbl>
      <w:tblPr>
        <w:tblW w:type="dxa" w:w="9360"/>
        <w:tblBorders>
          <w:top w:val="single" w:color="BFBFBF" w:sz="2"/>
          <w:left w:val="none"/>
          <w:bottom w:val="single" w:color="BFBFBF" w:sz="2"/>
          <w:right w:val="none"/>
          <w:insideH w:val="single" w:color="D9D9D9" w:sz="1"/>
          <w:insideV w:val="none"/>
        </w:tblBorders>
      </w:tblPr>
      <w:tblGrid>
        <w:gridCol w:w="2978"/>
        <w:gridCol w:w="1595"/>
        <w:gridCol w:w="1595"/>
        <w:gridCol w:w="1595"/>
        <w:gridCol w:w="1595"/>
      </w:tblGrid>
      <w:tr>
        <w:trPr>
          <w:tblHeader/>
        </w:trPr>
        <w:tc>
          <w:tcPr>
            <w:tcW w:type="dxa" w:w="297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기준연도</w:t>
            </w:r>
          </w:p>
        </w:tc>
        <w:tc>
          <w:tcPr>
            <w:tcW w:type="dxa" w:w="159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보수</w:t>
            </w:r>
          </w:p>
        </w:tc>
        <w:tc>
          <w:tcPr>
            <w:tcW w:type="dxa" w:w="159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중립</w:t>
            </w:r>
          </w:p>
        </w:tc>
        <w:tc>
          <w:tcPr>
            <w:tcW w:type="dxa" w:w="159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낙관</w:t>
            </w:r>
          </w:p>
        </w:tc>
        <w:tc>
          <w:tcPr>
            <w:tcW w:type="dxa" w:w="159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시장가</w:t>
            </w:r>
          </w:p>
        </w:tc>
      </w:tr>
      <w:tr>
        <w:tc>
          <w:tcPr>
            <w:tcW w:type="dxa" w:w="297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 실적 기준</w:t>
            </w:r>
          </w:p>
        </w:tc>
        <w:tc>
          <w:tcPr>
            <w:tcW w:type="dxa" w:w="159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17.51조원</w:t>
            </w:r>
          </w:p>
        </w:tc>
        <w:tc>
          <w:tcPr>
            <w:tcW w:type="dxa" w:w="159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27.21조원</w:t>
            </w:r>
          </w:p>
        </w:tc>
        <w:tc>
          <w:tcPr>
            <w:tcW w:type="dxa" w:w="159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52.07조원</w:t>
            </w:r>
          </w:p>
        </w:tc>
        <w:tc>
          <w:tcPr>
            <w:tcW w:type="dxa" w:w="159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65.11조원</w:t>
            </w:r>
          </w:p>
        </w:tc>
      </w:tr>
      <w:tr>
        <w:tc>
          <w:tcPr>
            <w:tcW w:type="dxa" w:w="297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2026 상반기 연율화</w:t>
            </w:r>
          </w:p>
        </w:tc>
        <w:tc>
          <w:tcPr>
            <w:tcW w:type="dxa" w:w="159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18.98조원</w:t>
            </w:r>
          </w:p>
        </w:tc>
        <w:tc>
          <w:tcPr>
            <w:tcW w:type="dxa" w:w="159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29.52조원</w:t>
            </w:r>
          </w:p>
        </w:tc>
        <w:tc>
          <w:tcPr>
            <w:tcW w:type="dxa" w:w="159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56.54조원</w:t>
            </w:r>
          </w:p>
        </w:tc>
        <w:tc>
          <w:tcPr>
            <w:tcW w:type="dxa" w:w="159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65.11조원</w:t>
            </w:r>
          </w:p>
        </w:tc>
      </w:tr>
      <w:tr>
        <w:tc>
          <w:tcPr>
            <w:tcW w:type="dxa" w:w="297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2026 상반기 연율화 · 현재 환율로 환산</w:t>
            </w:r>
          </w:p>
        </w:tc>
        <w:tc>
          <w:tcPr>
            <w:tcW w:type="dxa" w:w="159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16.41조원</w:t>
            </w:r>
          </w:p>
        </w:tc>
        <w:tc>
          <w:tcPr>
            <w:tcW w:type="dxa" w:w="159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25.50조원</w:t>
            </w:r>
          </w:p>
        </w:tc>
        <w:tc>
          <w:tcPr>
            <w:tcW w:type="dxa" w:w="159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48.76조원</w:t>
            </w:r>
          </w:p>
        </w:tc>
        <w:tc>
          <w:tcPr>
            <w:tcW w:type="dxa" w:w="159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65.11조원</w:t>
            </w:r>
          </w:p>
        </w:tc>
      </w:tr>
    </w:tbl>
    <w:p>
      <w:pPr>
        <w:spacing w:after="200"/>
      </w:pPr>
    </w:p>
    <w:tbl>
      <w:tblPr>
        <w:tblW w:type="dxa" w:w="9360"/>
        <w:tblBorders>
          <w:top w:val="single" w:color="BFBFBF" w:sz="2"/>
          <w:left w:val="none"/>
          <w:bottom w:val="single" w:color="BFBFBF" w:sz="2"/>
          <w:right w:val="none"/>
          <w:insideH w:val="single" w:color="D9D9D9" w:sz="1"/>
          <w:insideV w:val="none"/>
        </w:tblBorders>
      </w:tblPr>
      <w:tblGrid>
        <w:gridCol w:w="2645"/>
        <w:gridCol w:w="1730"/>
        <w:gridCol w:w="1730"/>
        <w:gridCol w:w="1730"/>
        <w:gridCol w:w="1526"/>
      </w:tblGrid>
      <w:tr>
        <w:trPr>
          <w:tblHeader/>
        </w:trPr>
        <w:tc>
          <w:tcPr>
            <w:tcW w:type="dxa" w:w="264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기준연도</w:t>
            </w:r>
          </w:p>
        </w:tc>
        <w:tc>
          <w:tcPr>
            <w:tcW w:type="dxa" w:w="173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보수 적정주가</w:t>
            </w:r>
          </w:p>
        </w:tc>
        <w:tc>
          <w:tcPr>
            <w:tcW w:type="dxa" w:w="173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중립 적정주가</w:t>
            </w:r>
          </w:p>
        </w:tc>
        <w:tc>
          <w:tcPr>
            <w:tcW w:type="dxa" w:w="173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낙관 적정주가</w:t>
            </w:r>
          </w:p>
        </w:tc>
        <w:tc>
          <w:tcPr>
            <w:tcW w:type="dxa" w:w="152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현재주가</w:t>
            </w:r>
          </w:p>
        </w:tc>
      </w:tr>
      <w:tr>
        <w:tc>
          <w:tcPr>
            <w:tcW w:type="dxa" w:w="264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 실적 기준</w:t>
            </w:r>
          </w:p>
        </w:tc>
        <w:tc>
          <w:tcPr>
            <w:tcW w:type="dxa" w:w="173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378,596원</w:t>
            </w:r>
          </w:p>
        </w:tc>
        <w:tc>
          <w:tcPr>
            <w:tcW w:type="dxa" w:w="173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588,470원</w:t>
            </w:r>
          </w:p>
        </w:tc>
        <w:tc>
          <w:tcPr>
            <w:tcW w:type="dxa" w:w="173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1,126,079원</w:t>
            </w:r>
          </w:p>
        </w:tc>
        <w:tc>
          <w:tcPr>
            <w:tcW w:type="dxa" w:w="152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1,408,000원</w:t>
            </w:r>
          </w:p>
        </w:tc>
      </w:tr>
      <w:tr>
        <w:tc>
          <w:tcPr>
            <w:tcW w:type="dxa" w:w="264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2026 상반기 연율화</w:t>
            </w:r>
          </w:p>
        </w:tc>
        <w:tc>
          <w:tcPr>
            <w:tcW w:type="dxa" w:w="173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410,425원</w:t>
            </w:r>
          </w:p>
        </w:tc>
        <w:tc>
          <w:tcPr>
            <w:tcW w:type="dxa" w:w="173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638,479원</w:t>
            </w:r>
          </w:p>
        </w:tc>
        <w:tc>
          <w:tcPr>
            <w:tcW w:type="dxa" w:w="173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1,222,656원</w:t>
            </w:r>
          </w:p>
        </w:tc>
        <w:tc>
          <w:tcPr>
            <w:tcW w:type="dxa" w:w="152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1,408,000원</w:t>
            </w:r>
          </w:p>
        </w:tc>
      </w:tr>
      <w:tr>
        <w:tc>
          <w:tcPr>
            <w:tcW w:type="dxa" w:w="264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2026 상반기 연율화 · 현재 환율로 환산</w:t>
            </w:r>
          </w:p>
        </w:tc>
        <w:tc>
          <w:tcPr>
            <w:tcW w:type="dxa" w:w="173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354,996원</w:t>
            </w:r>
          </w:p>
        </w:tc>
        <w:tc>
          <w:tcPr>
            <w:tcW w:type="dxa" w:w="173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551,391원</w:t>
            </w:r>
          </w:p>
        </w:tc>
        <w:tc>
          <w:tcPr>
            <w:tcW w:type="dxa" w:w="173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1,054,471원</w:t>
            </w:r>
          </w:p>
        </w:tc>
        <w:tc>
          <w:tcPr>
            <w:tcW w:type="dxa" w:w="152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1,408,000원</w:t>
            </w:r>
          </w:p>
        </w:tc>
      </w:tr>
    </w:tbl>
    <w:p>
      <w:pPr>
        <w:spacing w:after="200"/>
      </w:pPr>
    </w:p>
    <w:p>
      <w:pPr>
        <w:spacing w:after="140" w:line="288"/>
      </w:pPr>
      <w:r>
        <w:rPr>
          <w:rFonts w:ascii="Malgun Gothic" w:cs="Malgun Gothic" w:eastAsia="Malgun Gothic" w:hAnsi="Malgun Gothic"/>
          <w:sz w:val="19"/>
          <w:szCs w:val="19"/>
        </w:rPr>
        <w:t xml:space="preserve">아홉 개 칸 가운데 시장가에 닿는 것이 하나도 없습니다. 가장 가까운 경우는 2026년 상반기를 연율화하고(환율 보정 없이) 낙관 시나리오를 적용한 56.54조원이며, 그래도 13.2% 미달입니다. 52주 최저가 1,228,000원조차 낙관 시나리오의 적정주가 1,054,471원보다 높습니다.</w:t>
      </w:r>
    </w:p>
    <w:p>
      <w:pPr>
        <w:pStyle w:val="Heading2"/>
        <w:spacing w:after="120" w:before="300"/>
      </w:pPr>
      <w:r>
        <w:rPr>
          <w:rFonts w:ascii="Malgun Gothic" w:cs="Malgun Gothic" w:eastAsia="Malgun Gothic" w:hAnsi="Malgun Gothic"/>
          <w:b/>
          <w:bCs/>
          <w:color w:val="1F3864"/>
          <w:sz w:val="23"/>
          <w:szCs w:val="23"/>
        </w:rPr>
        <w:t xml:space="preserve">거꾸로 — 지금 주가는 무엇을 가정하고 있는가</w:t>
      </w:r>
    </w:p>
    <w:p>
      <w:pPr>
        <w:spacing w:after="140" w:line="288"/>
      </w:pPr>
      <w:r>
        <w:rPr>
          <w:rFonts w:ascii="Malgun Gothic" w:cs="Malgun Gothic" w:eastAsia="Malgun Gothic" w:hAnsi="Malgun Gothic"/>
          <w:sz w:val="19"/>
          <w:szCs w:val="19"/>
        </w:rPr>
        <w:t xml:space="preserve">가치를 계산해 주가와 비교하는 대신, 주가를 맞추는 가정을 역산했습니다. 세 개의 손잡이를 하나씩 돌립니다.</w:t>
      </w:r>
    </w:p>
    <w:tbl>
      <w:tblPr>
        <w:tblW w:type="dxa" w:w="9360"/>
        <w:tblBorders>
          <w:top w:val="single" w:color="BFBFBF" w:sz="2"/>
          <w:left w:val="none"/>
          <w:bottom w:val="single" w:color="BFBFBF" w:sz="2"/>
          <w:right w:val="none"/>
          <w:insideH w:val="single" w:color="D9D9D9" w:sz="1"/>
          <w:insideV w:val="none"/>
        </w:tblBorders>
      </w:tblPr>
      <w:tblGrid>
        <w:gridCol w:w="2145"/>
        <w:gridCol w:w="1950"/>
        <w:gridCol w:w="1950"/>
        <w:gridCol w:w="3315"/>
      </w:tblGrid>
      <w:tr>
        <w:trPr>
          <w:tblHeader/>
        </w:trPr>
        <w:tc>
          <w:tcPr>
            <w:tcW w:type="dxa" w:w="214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역산 대상</w:t>
            </w:r>
          </w:p>
        </w:tc>
        <w:tc>
          <w:tcPr>
            <w:tcW w:type="dxa" w:w="195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낙관 시나리오 틀 기준</w:t>
            </w:r>
          </w:p>
        </w:tc>
        <w:tc>
          <w:tcPr>
            <w:tcW w:type="dxa" w:w="195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중립 시나리오 틀 기준</w:t>
            </w:r>
          </w:p>
        </w:tc>
        <w:tc>
          <w:tcPr>
            <w:tcW w:type="dxa" w:w="331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실측·참고치</w:t>
            </w:r>
          </w:p>
        </w:tc>
      </w:tr>
      <w:tr>
        <w:tc>
          <w:tcPr>
            <w:tcW w:type="dxa" w:w="214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첫해 성장률</w:t>
            </w:r>
          </w:p>
        </w:tc>
        <w:tc>
          <w:tcPr>
            <w:tcW w:type="dxa" w:w="195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34.0%</w:t>
            </w:r>
          </w:p>
        </w:tc>
        <w:tc>
          <w:tcPr>
            <w:tcW w:type="dxa" w:w="195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50.8%</w:t>
            </w:r>
          </w:p>
        </w:tc>
        <w:tc>
          <w:tcPr>
            <w:tcW w:type="dxa" w:w="331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FY2020→FY2025 매출 CAGR 31.4%, 2026 상반기 +28.0%</w:t>
            </w:r>
          </w:p>
        </w:tc>
      </w:tr>
      <w:tr>
        <w:tc>
          <w:tcPr>
            <w:tcW w:type="dxa" w:w="214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 그때의 1년차 재투자율</w:t>
            </w:r>
          </w:p>
        </w:tc>
        <w:tc>
          <w:tcPr>
            <w:tcW w:type="dxa" w:w="195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131%</w:t>
            </w:r>
          </w:p>
        </w:tc>
        <w:tc>
          <w:tcPr>
            <w:tcW w:type="dxa" w:w="195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254%</w:t>
            </w:r>
          </w:p>
        </w:tc>
        <w:tc>
          <w:tcPr>
            <w:tcW w:type="dxa" w:w="331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100%를 넘으면 외부 조달 필요</w:t>
            </w:r>
          </w:p>
        </w:tc>
      </w:tr>
      <w:tr>
        <w:tc>
          <w:tcPr>
            <w:tcW w:type="dxa" w:w="214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할인율</w:t>
            </w:r>
          </w:p>
        </w:tc>
        <w:tc>
          <w:tcPr>
            <w:tcW w:type="dxa" w:w="195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7.8%</w:t>
            </w:r>
          </w:p>
        </w:tc>
        <w:tc>
          <w:tcPr>
            <w:tcW w:type="dxa" w:w="195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5.9%</w:t>
            </w:r>
          </w:p>
        </w:tc>
        <w:tc>
          <w:tcPr>
            <w:tcW w:type="dxa" w:w="331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자본비용 참고 범위 9.0%~13.0%</w:t>
            </w:r>
          </w:p>
        </w:tc>
      </w:tr>
      <w:tr>
        <w:tc>
          <w:tcPr>
            <w:tcW w:type="dxa" w:w="214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증분 ROIC</w:t>
            </w:r>
          </w:p>
        </w:tc>
        <w:tc>
          <w:tcPr>
            <w:tcW w:type="dxa" w:w="195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도달 불가</w:t>
            </w:r>
          </w:p>
        </w:tc>
        <w:tc>
          <w:tcPr>
            <w:tcW w:type="dxa" w:w="195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도달 불가</w:t>
            </w:r>
          </w:p>
        </w:tc>
        <w:tc>
          <w:tcPr>
            <w:tcW w:type="dxa" w:w="331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5년 구간 실측 24.9%~29.7%</w:t>
            </w:r>
          </w:p>
        </w:tc>
      </w:tr>
    </w:tbl>
    <w:p>
      <w:pPr>
        <w:spacing w:after="200"/>
      </w:pPr>
    </w:p>
    <w:p>
      <w:pPr>
        <w:spacing w:after="140" w:line="288"/>
      </w:pPr>
      <w:r>
        <w:rPr>
          <w:rFonts w:ascii="Malgun Gothic" w:cs="Malgun Gothic" w:eastAsia="Malgun Gothic" w:hAnsi="Malgun Gothic"/>
          <w:sz w:val="19"/>
          <w:szCs w:val="19"/>
        </w:rPr>
        <w:t xml:space="preserve">세 줄을 함께 읽어야 합니다.</w:t>
      </w:r>
    </w:p>
    <w:p>
      <w:pPr>
        <w:pStyle w:val="ListParagraph"/>
        <w:numPr>
          <w:ilvl w:val="0"/>
          <w:numId w:val="2"/>
        </w:numPr>
        <w:spacing w:after="120" w:line="284"/>
      </w:pPr>
      <w:r>
        <w:rPr>
          <w:rFonts w:ascii="Malgun Gothic" w:cs="Malgun Gothic" w:eastAsia="Malgun Gothic" w:hAnsi="Malgun Gothic"/>
          <w:b/>
          <w:bCs/>
          <w:sz w:val="19"/>
          <w:szCs w:val="19"/>
        </w:rPr>
        <w:t xml:space="preserve">성장률.</w:t>
      </w:r>
      <w:r>
        <w:rPr>
          <w:rFonts w:ascii="Malgun Gothic" w:cs="Malgun Gothic" w:eastAsia="Malgun Gothic" w:hAnsi="Malgun Gothic"/>
          <w:sz w:val="19"/>
          <w:szCs w:val="19"/>
        </w:rPr>
        <w:t xml:space="preserve"> 현재가를 정당화하려면 첫해 34.0%로 시작해 10년간 체감하는 성장이 필요합니다. FY2020→FY2025 매출 CAGR 31.4%보다 높은 수준을, 그것도 출발점이 아니라 10년 경로의 시작으로 요구하는 셈입니다. 지금 건설중인 설비는 4,302억원뿐이고, FY2025 매출은 이미 FY2020의 3.9배입니다. 같은 배율을 다시 만들어야 합니다.</w:t>
      </w:r>
    </w:p>
    <w:p>
      <w:pPr>
        <w:pStyle w:val="ListParagraph"/>
        <w:numPr>
          <w:ilvl w:val="0"/>
          <w:numId w:val="2"/>
        </w:numPr>
        <w:spacing w:after="120" w:line="284"/>
      </w:pPr>
      <w:r>
        <w:rPr>
          <w:rFonts w:ascii="Malgun Gothic" w:cs="Malgun Gothic" w:eastAsia="Malgun Gothic" w:hAnsi="Malgun Gothic"/>
          <w:b/>
          <w:bCs/>
          <w:sz w:val="19"/>
          <w:szCs w:val="19"/>
        </w:rPr>
        <w:t xml:space="preserve">그런데 그 성장은 스스로 조달되지 않습니다.</w:t>
      </w:r>
      <w:r>
        <w:rPr>
          <w:rFonts w:ascii="Malgun Gothic" w:cs="Malgun Gothic" w:eastAsia="Malgun Gothic" w:hAnsi="Malgun Gothic"/>
          <w:sz w:val="19"/>
          <w:szCs w:val="19"/>
        </w:rPr>
        <w:t xml:space="preserve"> 증분 ROIC 26% 아래에서 34.0% 성장은 재투자율 131%를 뜻합니다. 100%를 넘는 차액은 증자나 차입으로 메워야 하는데, 현금흐름할인 계산은 그 희석과 이자를 기존 주주에게 청구하지 않습니다. 즉 이 역산값은 이미 과대평가된 값이고, 현실에서 필요한 성장률은 이보다 더 높습니다.</w:t>
      </w:r>
    </w:p>
    <w:p>
      <w:pPr>
        <w:pStyle w:val="ListParagraph"/>
        <w:numPr>
          <w:ilvl w:val="0"/>
          <w:numId w:val="2"/>
        </w:numPr>
        <w:spacing w:after="120" w:line="284"/>
      </w:pPr>
      <w:r>
        <w:rPr>
          <w:rFonts w:ascii="Malgun Gothic" w:cs="Malgun Gothic" w:eastAsia="Malgun Gothic" w:hAnsi="Malgun Gothic"/>
          <w:b/>
          <w:bCs/>
          <w:sz w:val="19"/>
          <w:szCs w:val="19"/>
        </w:rPr>
        <w:t xml:space="preserve">할인율.</w:t>
      </w:r>
      <w:r>
        <w:rPr>
          <w:rFonts w:ascii="Malgun Gothic" w:cs="Malgun Gothic" w:eastAsia="Malgun Gothic" w:hAnsi="Malgun Gothic"/>
          <w:sz w:val="19"/>
          <w:szCs w:val="19"/>
        </w:rPr>
        <w:t xml:space="preserve"> 다른 손잡이를 모두 낙관에 두고 할인율만 맞추면 7.8%입니다. 한국 10년물 4.18%에 주식위험프리미엄 3.6%포인트만 얹은 값으로, 계산한 자본비용 범위 9.0%~13.0%의 아래입니다.</w:t>
      </w:r>
    </w:p>
    <w:p>
      <w:pPr>
        <w:pStyle w:val="ListParagraph"/>
        <w:numPr>
          <w:ilvl w:val="0"/>
          <w:numId w:val="2"/>
        </w:numPr>
        <w:spacing w:after="120" w:line="284"/>
      </w:pPr>
      <w:r>
        <w:rPr>
          <w:rFonts w:ascii="Malgun Gothic" w:cs="Malgun Gothic" w:eastAsia="Malgun Gothic" w:hAnsi="Malgun Gothic"/>
          <w:b/>
          <w:bCs/>
          <w:sz w:val="19"/>
          <w:szCs w:val="19"/>
        </w:rPr>
        <w:t xml:space="preserve">증분 ROIC.</w:t>
      </w:r>
      <w:r>
        <w:rPr>
          <w:rFonts w:ascii="Malgun Gothic" w:cs="Malgun Gothic" w:eastAsia="Malgun Gothic" w:hAnsi="Malgun Gothic"/>
          <w:sz w:val="19"/>
          <w:szCs w:val="19"/>
        </w:rPr>
        <w:t xml:space="preserve"> 성장률과 할인율을 시나리오 값에 고정하고 증분 ROIC만 올려보면, 재투자가 0에 수렴할 만큼(300% 이상) 올려도 값이 시장가에 닿지 않습니다. 즉 이 주가를 설명하는 것은 '자본효율이 더 좋을 것'이라는 기대가 아니라, '성장이 더 길고 클 것' 또는 '요구수익률이 더 낮아도 된다'는 기대입니다.</w:t>
      </w:r>
    </w:p>
    <w:p>
      <w:pPr>
        <w:spacing w:after="140" w:line="288"/>
      </w:pPr>
      <w:r>
        <w:rPr>
          <w:rFonts w:ascii="Malgun Gothic" w:cs="Malgun Gothic" w:eastAsia="Malgun Gothic" w:hAnsi="Malgun Gothic"/>
          <w:b/>
          <w:bCs/>
          <w:sz w:val="19"/>
          <w:szCs w:val="19"/>
        </w:rPr>
        <w:t xml:space="preserve">판정: 미달.</w:t>
      </w:r>
      <w:r>
        <w:rPr>
          <w:rFonts w:ascii="Malgun Gothic" w:cs="Malgun Gothic" w:eastAsia="Malgun Gothic" w:hAnsi="Malgun Gothic"/>
          <w:sz w:val="19"/>
          <w:szCs w:val="19"/>
        </w:rPr>
        <w:t xml:space="preserve"> 기준 7은 통과하지 못합니다.</w:t>
      </w:r>
    </w:p>
    <w:p>
      <w:pPr>
        <w:pStyle w:val="Heading1"/>
        <w:spacing w:after="160" w:before="400"/>
      </w:pPr>
      <w:r>
        <w:rPr>
          <w:rFonts w:ascii="Malgun Gothic" w:cs="Malgun Gothic" w:eastAsia="Malgun Gothic" w:hAnsi="Malgun Gothic"/>
          <w:b/>
          <w:bCs/>
          <w:color w:val="1F3864"/>
          <w:sz w:val="28"/>
          <w:szCs w:val="28"/>
        </w:rPr>
        <w:t xml:space="preserve">10. 결론 — 그래서 얼마면 사는가</w:t>
      </w:r>
    </w:p>
    <w:p>
      <w:pPr>
        <w:spacing w:after="140" w:line="288"/>
      </w:pPr>
      <w:r>
        <w:rPr>
          <w:rFonts w:ascii="Malgun Gothic" w:cs="Malgun Gothic" w:eastAsia="Malgun Gothic" w:hAnsi="Malgun Gothic"/>
          <w:sz w:val="19"/>
          <w:szCs w:val="19"/>
        </w:rPr>
        <w:t xml:space="preserve">사업은 좋습니다. 2007년 서한의 분류로 '훌륭한' 기업은 아니고 '좋은' 기업이며, 좋은 기업의 조건 — 성장에 자본이 들지만 그 자본에서 만족스러운 수익을 낸다 — 을 4년 연속 22% 넘는 ROIC과 25~30%의 증분 ROIC으로 충족합니다. 가격만이 문제입니다.</w:t>
      </w:r>
    </w:p>
    <w:tbl>
      <w:tblPr>
        <w:tblW w:type="dxa" w:w="9360"/>
        <w:tblBorders>
          <w:top w:val="single" w:color="BFBFBF" w:sz="2"/>
          <w:left w:val="none"/>
          <w:bottom w:val="single" w:color="BFBFBF" w:sz="2"/>
          <w:right w:val="none"/>
          <w:insideH w:val="single" w:color="D9D9D9" w:sz="1"/>
          <w:insideV w:val="none"/>
        </w:tblBorders>
      </w:tblPr>
      <w:tblGrid>
        <w:gridCol w:w="5251"/>
        <w:gridCol w:w="1826"/>
        <w:gridCol w:w="2283"/>
      </w:tblGrid>
      <w:tr>
        <w:trPr>
          <w:tblHeader/>
        </w:trPr>
        <w:tc>
          <w:tcPr>
            <w:tcW w:type="dxa" w:w="5251"/>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시나리오가 맞다면</w:t>
            </w:r>
          </w:p>
        </w:tc>
        <w:tc>
          <w:tcPr>
            <w:tcW w:type="dxa" w:w="182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적정주가</w:t>
            </w:r>
          </w:p>
        </w:tc>
        <w:tc>
          <w:tcPr>
            <w:tcW w:type="dxa" w:w="2283"/>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현재주가 대비 필요한 하락</w:t>
            </w:r>
          </w:p>
        </w:tc>
      </w:tr>
      <w:tr>
        <w:tc>
          <w:tcPr>
            <w:tcW w:type="dxa" w:w="525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보수 (8% → 2.5%, 증분ROIC 15%, 할인율 11%)</w:t>
            </w:r>
          </w:p>
        </w:tc>
        <w:tc>
          <w:tcPr>
            <w:tcW w:type="dxa" w:w="182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354,996원</w:t>
            </w:r>
          </w:p>
        </w:tc>
        <w:tc>
          <w:tcPr>
            <w:tcW w:type="dxa" w:w="228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-74.8%</w:t>
            </w:r>
          </w:p>
        </w:tc>
      </w:tr>
      <w:tr>
        <w:tc>
          <w:tcPr>
            <w:tcW w:type="dxa" w:w="525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중립 (15% → 4.0%, 증분ROIC 20%, 할인율 10%)</w:t>
            </w:r>
          </w:p>
        </w:tc>
        <w:tc>
          <w:tcPr>
            <w:tcW w:type="dxa" w:w="182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551,391원</w:t>
            </w:r>
          </w:p>
        </w:tc>
        <w:tc>
          <w:tcPr>
            <w:tcW w:type="dxa" w:w="228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-60.8%</w:t>
            </w:r>
          </w:p>
        </w:tc>
      </w:tr>
      <w:tr>
        <w:tc>
          <w:tcPr>
            <w:tcW w:type="dxa" w:w="525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낙관 (25% → 5.0%, 증분ROIC 26%, 할인율 9%)</w:t>
            </w:r>
          </w:p>
        </w:tc>
        <w:tc>
          <w:tcPr>
            <w:tcW w:type="dxa" w:w="182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1,054,471원</w:t>
            </w:r>
          </w:p>
        </w:tc>
        <w:tc>
          <w:tcPr>
            <w:tcW w:type="dxa" w:w="228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-25.1%</w:t>
            </w:r>
          </w:p>
        </w:tc>
      </w:tr>
    </w:tbl>
    <w:p>
      <w:pPr>
        <w:spacing w:after="200"/>
      </w:pPr>
    </w:p>
    <w:p>
      <w:pPr>
        <w:spacing w:after="140" w:line="288"/>
      </w:pPr>
      <w:r>
        <w:rPr>
          <w:rFonts w:ascii="Malgun Gothic" w:cs="Malgun Gothic" w:eastAsia="Malgun Gothic" w:hAnsi="Malgun Gothic"/>
          <w:sz w:val="19"/>
          <w:szCs w:val="19"/>
        </w:rPr>
        <w:t xml:space="preserve">중립과 낙관의 중간에 가치가 있다고 보면 주당 802,931원 부근입니다. 여기에 버핏이 요구한 안전마진을 25% 적용하면 매수 가격은 602,198원 수준이 됩니다. 현재 1,408,000원에서 약 -57.2%입니다.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이 숫자를 목표주가로 읽지 마시기 바랍니다. 이것은 '내가 정한 가정 아래서 가치가 이만큼이므로 그 아래에서만 사겠다'는 규칙의 출력일 뿐입니다. 가정이 틀리면 숫자도 틀립니다. 어느 가정이 어디서 왔는지를 이 문서 전체에 적어둔 이유가 그것입니다.</w:t>
      </w:r>
    </w:p>
    <w:p>
      <w:pPr>
        <w:pStyle w:val="Heading2"/>
        <w:spacing w:after="120" w:before="300"/>
      </w:pPr>
      <w:r>
        <w:rPr>
          <w:rFonts w:ascii="Malgun Gothic" w:cs="Malgun Gothic" w:eastAsia="Malgun Gothic" w:hAnsi="Malgun Gothic"/>
          <w:b/>
          <w:bCs/>
          <w:color w:val="1F3864"/>
          <w:sz w:val="23"/>
          <w:szCs w:val="23"/>
        </w:rPr>
        <w:t xml:space="preserve">내가 틀렸다면 어디서 틀렸을 가능성이 큰가</w:t>
      </w:r>
    </w:p>
    <w:p>
      <w:pPr>
        <w:pStyle w:val="ListParagraph"/>
        <w:numPr>
          <w:ilvl w:val="0"/>
          <w:numId w:val="2"/>
        </w:numPr>
        <w:spacing w:after="120" w:line="284"/>
      </w:pPr>
      <w:r>
        <w:rPr>
          <w:rFonts w:ascii="Malgun Gothic" w:cs="Malgun Gothic" w:eastAsia="Malgun Gothic" w:hAnsi="Malgun Gothic"/>
          <w:b/>
          <w:bCs/>
          <w:sz w:val="19"/>
          <w:szCs w:val="19"/>
        </w:rPr>
        <w:t xml:space="preserve">성장 기간.</w:t>
      </w:r>
      <w:r>
        <w:rPr>
          <w:rFonts w:ascii="Malgun Gothic" w:cs="Malgun Gothic" w:eastAsia="Malgun Gothic" w:hAnsi="Malgun Gothic"/>
          <w:sz w:val="19"/>
          <w:szCs w:val="19"/>
        </w:rPr>
        <w:t xml:space="preserve"> 10년 체감 모형을 썼습니다. 바이오의약품 위탁생산 수요가 20년 넘게 두 자릿수로 늘고 이 회사가 계속 점유율을 유지한다면, 10년으로 끊은 모형은 가치를 과소평가합니다. 다만 그 경우 터미널 비중이 더 높아지고 계산의 신뢰도는 더 떨어집니다.</w:t>
      </w:r>
    </w:p>
    <w:p>
      <w:pPr>
        <w:pStyle w:val="ListParagraph"/>
        <w:numPr>
          <w:ilvl w:val="0"/>
          <w:numId w:val="2"/>
        </w:numPr>
        <w:spacing w:after="120" w:line="284"/>
      </w:pPr>
      <w:r>
        <w:rPr>
          <w:rFonts w:ascii="Malgun Gothic" w:cs="Malgun Gothic" w:eastAsia="Malgun Gothic" w:hAnsi="Malgun Gothic"/>
          <w:b/>
          <w:bCs/>
          <w:sz w:val="19"/>
          <w:szCs w:val="19"/>
        </w:rPr>
        <w:t xml:space="preserve">마진의 지속.</w:t>
      </w:r>
      <w:r>
        <w:rPr>
          <w:rFonts w:ascii="Malgun Gothic" w:cs="Malgun Gothic" w:eastAsia="Malgun Gothic" w:hAnsi="Malgun Gothic"/>
          <w:sz w:val="19"/>
          <w:szCs w:val="19"/>
        </w:rPr>
        <w:t xml:space="preserve"> 영업이익률 45%가 유지되면 제가 쓴 기준연도는 낮지 않고 맞습니다. FY2025에 가동에 들어간 설비의 가동률이 더 올라가면 마진에 추가 여지가 있고, 그만큼 가치도 올라갑니다.</w:t>
      </w:r>
    </w:p>
    <w:p>
      <w:pPr>
        <w:pStyle w:val="ListParagraph"/>
        <w:numPr>
          <w:ilvl w:val="0"/>
          <w:numId w:val="2"/>
        </w:numPr>
        <w:spacing w:after="120" w:line="284"/>
      </w:pPr>
      <w:r>
        <w:rPr>
          <w:rFonts w:ascii="Malgun Gothic" w:cs="Malgun Gothic" w:eastAsia="Malgun Gothic" w:hAnsi="Malgun Gothic"/>
          <w:b/>
          <w:bCs/>
          <w:sz w:val="19"/>
          <w:szCs w:val="19"/>
        </w:rPr>
        <w:t xml:space="preserve">환율.</w:t>
      </w:r>
      <w:r>
        <w:rPr>
          <w:rFonts w:ascii="Malgun Gothic" w:cs="Malgun Gothic" w:eastAsia="Malgun Gothic" w:hAnsi="Malgun Gothic"/>
          <w:sz w:val="19"/>
          <w:szCs w:val="19"/>
        </w:rPr>
        <w:t xml:space="preserve"> 원화가 1,500원대로 다시 밀리면 NOPAT이 1.85조원까지 올라가고 낙관 시나리오 가치가 시장가에 근접합니다. 반대로 1,200원이면 21% 낮아집니다. 제 기준연도는 현재 환율이며, 그 선택 자체가 판단입니다.</w:t>
      </w:r>
    </w:p>
    <w:p>
      <w:pPr>
        <w:pStyle w:val="ListParagraph"/>
        <w:numPr>
          <w:ilvl w:val="0"/>
          <w:numId w:val="2"/>
        </w:numPr>
        <w:spacing w:after="120" w:line="284"/>
      </w:pPr>
      <w:r>
        <w:rPr>
          <w:rFonts w:ascii="Malgun Gothic" w:cs="Malgun Gothic" w:eastAsia="Malgun Gothic" w:hAnsi="Malgun Gothic"/>
          <w:b/>
          <w:bCs/>
          <w:sz w:val="19"/>
          <w:szCs w:val="19"/>
        </w:rPr>
        <w:t xml:space="preserve">자본비용.</w:t>
      </w:r>
      <w:r>
        <w:rPr>
          <w:rFonts w:ascii="Malgun Gothic" w:cs="Malgun Gothic" w:eastAsia="Malgun Gothic" w:hAnsi="Malgun Gothic"/>
          <w:sz w:val="19"/>
          <w:szCs w:val="19"/>
        </w:rPr>
        <w:t xml:space="preserve"> 한국 10년물이 4.18%인 상황에서 9%를 낙관 할인율로 썼습니다. 금리가 크게 떨어지면 이 회사처럼 현금흐름이 뒤에 몰린 기업의 가치는 빠르게 올라갑니다. 시장이 8%를 쓰고 있다면 시장이 옳을 수도 있습니다. 다만 그 가정을 쓰고 있다는 사실은 인식하고 있어야 합니다.</w:t>
      </w:r>
    </w:p>
    <w:p>
      <w:pPr>
        <w:pStyle w:val="ListParagraph"/>
        <w:numPr>
          <w:ilvl w:val="0"/>
          <w:numId w:val="2"/>
        </w:numPr>
        <w:spacing w:after="120" w:line="284"/>
      </w:pPr>
      <w:r>
        <w:rPr>
          <w:rFonts w:ascii="Malgun Gothic" w:cs="Malgun Gothic" w:eastAsia="Malgun Gothic" w:hAnsi="Malgun Gothic"/>
          <w:b/>
          <w:bCs/>
          <w:sz w:val="19"/>
          <w:szCs w:val="19"/>
        </w:rPr>
        <w:t xml:space="preserve">증설 계획.</w:t>
      </w:r>
      <w:r>
        <w:rPr>
          <w:rFonts w:ascii="Malgun Gothic" w:cs="Malgun Gothic" w:eastAsia="Malgun Gothic" w:hAnsi="Malgun Gothic"/>
          <w:sz w:val="19"/>
          <w:szCs w:val="19"/>
        </w:rPr>
        <w:t xml:space="preserve"> 건설중자산이 4,302억원으로 줄어 다음 성장 파동의 설비가 아직 대차대조표에 없습니다. 회사가 추가 투자를 확정하고 그 수익률이 과거와 같다면 제 중립 시나리오는 낮습니다. 반대로 투자를 늦추면 보수 시나리오에 가까워집니다. 이 항목은 감사보고서로 확인할 수 없고 앞으로의 공시를 봐야 하는 부분입니다.</w:t>
      </w:r>
    </w:p>
    <w:p>
      <w:pPr>
        <w:pStyle w:val="Heading1"/>
        <w:spacing w:after="160" w:before="400"/>
      </w:pPr>
      <w:r>
        <w:rPr>
          <w:rFonts w:ascii="Malgun Gothic" w:cs="Malgun Gothic" w:eastAsia="Malgun Gothic" w:hAnsi="Malgun Gothic"/>
          <w:b/>
          <w:bCs/>
          <w:color w:val="1F3864"/>
          <w:sz w:val="28"/>
          <w:szCs w:val="28"/>
        </w:rPr>
        <w:t xml:space="preserve">부록 A. 자료 출처</w:t>
      </w:r>
    </w:p>
    <w:tbl>
      <w:tblPr>
        <w:tblW w:type="dxa" w:w="9360"/>
        <w:tblBorders>
          <w:top w:val="single" w:color="BFBFBF" w:sz="2"/>
          <w:left w:val="none"/>
          <w:bottom w:val="single" w:color="BFBFBF" w:sz="2"/>
          <w:right w:val="none"/>
          <w:insideH w:val="single" w:color="D9D9D9" w:sz="1"/>
          <w:insideV w:val="none"/>
        </w:tblBorders>
      </w:tblPr>
      <w:tblGrid>
        <w:gridCol w:w="1831"/>
        <w:gridCol w:w="4477"/>
        <w:gridCol w:w="3052"/>
      </w:tblGrid>
      <w:tr>
        <w:trPr>
          <w:tblHeader/>
        </w:trPr>
        <w:tc>
          <w:tcPr>
            <w:tcW w:type="dxa" w:w="1831"/>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연도</w:t>
            </w:r>
          </w:p>
        </w:tc>
        <w:tc>
          <w:tcPr>
            <w:tcW w:type="dxa" w:w="4477"/>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문서</w:t>
            </w:r>
          </w:p>
        </w:tc>
        <w:tc>
          <w:tcPr>
            <w:tcW w:type="dxa" w:w="305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성격</w:t>
            </w:r>
          </w:p>
        </w:tc>
      </w:tr>
      <w:tr>
        <w:tc>
          <w:tcPr>
            <w:tcW w:type="dxa" w:w="183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FY2016~FY2017</w:t>
            </w:r>
          </w:p>
        </w:tc>
        <w:tc>
          <w:tcPr>
            <w:tcW w:type="dxa" w:w="4477"/>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Audited Financial Statement 2017 FY</w:t>
            </w:r>
          </w:p>
        </w:tc>
        <w:tc>
          <w:tcPr>
            <w:tcW w:type="dxa" w:w="305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감사받은 재무제표 (당시 종속회사 없음)</w:t>
            </w:r>
          </w:p>
        </w:tc>
      </w:tr>
      <w:tr>
        <w:tc>
          <w:tcPr>
            <w:tcW w:type="dxa" w:w="183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FY2018</w:t>
            </w:r>
          </w:p>
        </w:tc>
        <w:tc>
          <w:tcPr>
            <w:tcW w:type="dxa" w:w="4477"/>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2018 FY Audited Financial Statements</w:t>
            </w:r>
          </w:p>
        </w:tc>
        <w:tc>
          <w:tcPr>
            <w:tcW w:type="dxa" w:w="305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감사받은 재무제표</w:t>
            </w:r>
          </w:p>
        </w:tc>
      </w:tr>
      <w:tr>
        <w:tc>
          <w:tcPr>
            <w:tcW w:type="dxa" w:w="183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FY2019</w:t>
            </w:r>
          </w:p>
        </w:tc>
        <w:tc>
          <w:tcPr>
            <w:tcW w:type="dxa" w:w="4477"/>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2019 FY Audited Financial Statements</w:t>
            </w:r>
          </w:p>
        </w:tc>
        <w:tc>
          <w:tcPr>
            <w:tcW w:type="dxa" w:w="305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감사받은 재무제표</w:t>
            </w:r>
          </w:p>
        </w:tc>
      </w:tr>
      <w:tr>
        <w:tc>
          <w:tcPr>
            <w:tcW w:type="dxa" w:w="183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FY2020</w:t>
            </w:r>
          </w:p>
        </w:tc>
        <w:tc>
          <w:tcPr>
            <w:tcW w:type="dxa" w:w="4477"/>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2020 FY Audited Financial Statements (Consolidated)</w:t>
            </w:r>
          </w:p>
        </w:tc>
        <w:tc>
          <w:tcPr>
            <w:tcW w:type="dxa" w:w="305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감사받은 연결재무제표</w:t>
            </w:r>
          </w:p>
        </w:tc>
      </w:tr>
      <w:tr>
        <w:tc>
          <w:tcPr>
            <w:tcW w:type="dxa" w:w="183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FY2021</w:t>
            </w:r>
          </w:p>
        </w:tc>
        <w:tc>
          <w:tcPr>
            <w:tcW w:type="dxa" w:w="4477"/>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2021 FY Audited Financial Statements (Consolidated)</w:t>
            </w:r>
          </w:p>
        </w:tc>
        <w:tc>
          <w:tcPr>
            <w:tcW w:type="dxa" w:w="305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감사받은 연결재무제표</w:t>
            </w:r>
          </w:p>
        </w:tc>
      </w:tr>
      <w:tr>
        <w:tc>
          <w:tcPr>
            <w:tcW w:type="dxa" w:w="183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FY2022~FY2025</w:t>
            </w:r>
          </w:p>
        </w:tc>
        <w:tc>
          <w:tcPr>
            <w:tcW w:type="dxa" w:w="4477"/>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각 연도 FY Audited Financial Statements (Separate)</w:t>
            </w:r>
          </w:p>
        </w:tc>
        <w:tc>
          <w:tcPr>
            <w:tcW w:type="dxa" w:w="305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감사받은 별도재무제표</w:t>
            </w:r>
          </w:p>
        </w:tc>
      </w:tr>
      <w:tr>
        <w:tc>
          <w:tcPr>
            <w:tcW w:type="dxa" w:w="183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FY2024~FY2025</w:t>
            </w:r>
          </w:p>
        </w:tc>
        <w:tc>
          <w:tcPr>
            <w:tcW w:type="dxa" w:w="4477"/>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각 연도 FY Audited Financial Statements (Consolidated)</w:t>
            </w:r>
          </w:p>
        </w:tc>
        <w:tc>
          <w:tcPr>
            <w:tcW w:type="dxa" w:w="305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부문·중단영업 주석</w:t>
            </w:r>
          </w:p>
        </w:tc>
      </w:tr>
      <w:tr>
        <w:tc>
          <w:tcPr>
            <w:tcW w:type="dxa" w:w="183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2026 상반기</w:t>
            </w:r>
          </w:p>
        </w:tc>
        <w:tc>
          <w:tcPr>
            <w:tcW w:type="dxa" w:w="4477"/>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2026 2Q Reviewed Financial Statement (Consolidated)</w:t>
            </w:r>
          </w:p>
        </w:tc>
        <w:tc>
          <w:tcPr>
            <w:tcW w:type="dxa" w:w="305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검토받은 반기재무제표</w:t>
            </w:r>
          </w:p>
        </w:tc>
      </w:tr>
    </w:tbl>
    <w:p>
      <w:pPr>
        <w:spacing w:after="200"/>
      </w:pPr>
    </w:p>
    <w:p>
      <w:pPr>
        <w:pStyle w:val="ListParagraph"/>
        <w:numPr>
          <w:ilvl w:val="0"/>
          <w:numId w:val="2"/>
        </w:numPr>
        <w:spacing w:after="120" w:line="284"/>
      </w:pPr>
      <w:r>
        <w:rPr>
          <w:rFonts w:ascii="Malgun Gothic" w:cs="Malgun Gothic" w:eastAsia="Malgun Gothic" w:hAnsi="Malgun Gothic"/>
          <w:sz w:val="19"/>
          <w:szCs w:val="19"/>
        </w:rPr>
        <w:t xml:space="preserve">주가: 네이버 금융 일별시세 (207940), 2026-09-14 종가. 시가총액은 유통주식 46,239,518주 기준 65.11조원이며, 네이버 공시 65.13조원과 0.04% 차이입니다.</w:t>
      </w:r>
    </w:p>
    <w:p>
      <w:pPr>
        <w:pStyle w:val="ListParagraph"/>
        <w:numPr>
          <w:ilvl w:val="0"/>
          <w:numId w:val="2"/>
        </w:numPr>
        <w:spacing w:after="120" w:line="284"/>
      </w:pPr>
      <w:r>
        <w:rPr>
          <w:rFonts w:ascii="Malgun Gothic" w:cs="Malgun Gothic" w:eastAsia="Malgun Gothic" w:hAnsi="Malgun Gothic"/>
          <w:sz w:val="19"/>
          <w:szCs w:val="19"/>
        </w:rPr>
        <w:t xml:space="preserve">환율: FRED DEXKOUS (Korea / U.S. Foreign Exchange Rate) — https://fred.stlouisfed.org/graph/fredgraph.csv?id=DEXKOUS</w:t>
      </w:r>
    </w:p>
    <w:p>
      <w:pPr>
        <w:pStyle w:val="ListParagraph"/>
        <w:numPr>
          <w:ilvl w:val="0"/>
          <w:numId w:val="2"/>
        </w:numPr>
        <w:spacing w:after="120" w:line="284"/>
      </w:pPr>
      <w:r>
        <w:rPr>
          <w:rFonts w:ascii="Malgun Gothic" w:cs="Malgun Gothic" w:eastAsia="Malgun Gothic" w:hAnsi="Malgun Gothic"/>
          <w:sz w:val="19"/>
          <w:szCs w:val="19"/>
        </w:rPr>
        <w:t xml:space="preserve">무위험수익률: FRED IRLTLT01KRM156N (Korea 10-year government bond yield) (4.18%, 2026-06) — https://fred.stlouisfed.org/graph/fredgraph.csv?id=IRLTLT01KRM156N</w:t>
      </w:r>
    </w:p>
    <w:p>
      <w:pPr>
        <w:pStyle w:val="Heading1"/>
        <w:spacing w:after="160" w:before="400"/>
      </w:pPr>
      <w:r>
        <w:rPr>
          <w:rFonts w:ascii="Malgun Gothic" w:cs="Malgun Gothic" w:eastAsia="Malgun Gothic" w:hAnsi="Malgun Gothic"/>
          <w:b/>
          <w:bCs/>
          <w:color w:val="1F3864"/>
          <w:sz w:val="28"/>
          <w:szCs w:val="28"/>
        </w:rPr>
        <w:t xml:space="preserve">부록 B. 판단이 들어간 지점</w:t>
      </w:r>
    </w:p>
    <w:p>
      <w:pPr>
        <w:spacing w:after="140" w:line="288"/>
      </w:pPr>
      <w:r>
        <w:rPr>
          <w:rFonts w:ascii="Malgun Gothic" w:cs="Malgun Gothic" w:eastAsia="Malgun Gothic" w:hAnsi="Malgun Gothic"/>
          <w:sz w:val="19"/>
          <w:szCs w:val="19"/>
        </w:rPr>
        <w:t xml:space="preserve">숫자가 아니라 판단인 부분만 모았습니다. 각 항목은 결론을 바꿀 수 있는 크기 순입니다.</w:t>
      </w:r>
    </w:p>
    <w:tbl>
      <w:tblPr>
        <w:tblW w:type="dxa" w:w="9360"/>
        <w:tblBorders>
          <w:top w:val="single" w:color="BFBFBF" w:sz="2"/>
          <w:left w:val="none"/>
          <w:bottom w:val="single" w:color="BFBFBF" w:sz="2"/>
          <w:right w:val="none"/>
          <w:insideH w:val="single" w:color="D9D9D9" w:sz="1"/>
          <w:insideV w:val="none"/>
        </w:tblBorders>
      </w:tblPr>
      <w:tblGrid>
        <w:gridCol w:w="1685"/>
        <w:gridCol w:w="2059"/>
        <w:gridCol w:w="2059"/>
        <w:gridCol w:w="3557"/>
      </w:tblGrid>
      <w:tr>
        <w:trPr>
          <w:tblHeader/>
        </w:trPr>
        <w:tc>
          <w:tcPr>
            <w:tcW w:type="dxa" w:w="168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판단</w:t>
            </w:r>
          </w:p>
        </w:tc>
        <w:tc>
          <w:tcPr>
            <w:tcW w:type="dxa" w:w="205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선택한 값</w:t>
            </w:r>
          </w:p>
        </w:tc>
        <w:tc>
          <w:tcPr>
            <w:tcW w:type="dxa" w:w="205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대안</w:t>
            </w:r>
          </w:p>
        </w:tc>
        <w:tc>
          <w:tcPr>
            <w:tcW w:type="dxa" w:w="3557"/>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결론에 미치는 영향</w:t>
            </w:r>
          </w:p>
        </w:tc>
      </w:tr>
      <w:tr>
        <w:tc>
          <w:tcPr>
            <w:tcW w:type="dxa" w:w="168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기준연도</w:t>
            </w:r>
          </w:p>
        </w:tc>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2026 상반기 연율화 · 현재 환율</w:t>
            </w:r>
          </w:p>
        </w:tc>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 실적 / 환율 보정 없는 연율화</w:t>
            </w:r>
          </w:p>
        </w:tc>
        <w:tc>
          <w:tcPr>
            <w:tcW w:type="dxa" w:w="3557"/>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NOPAT 1.48조 vs 1.58조 vs 1.71조. 낙관 시나리오 가치가 48.8조~56.5조로 움직이지만 어느 쪽도 65.1조에 닿지 않음</w:t>
            </w:r>
          </w:p>
        </w:tc>
      </w:tr>
      <w:tr>
        <w:tc>
          <w:tcPr>
            <w:tcW w:type="dxa" w:w="168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원가 중 외화연동 비중</w:t>
            </w:r>
          </w:p>
        </w:tc>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30%</w:t>
            </w:r>
          </w:p>
        </w:tc>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0%~60%</w:t>
            </w:r>
          </w:p>
        </w:tc>
        <w:tc>
          <w:tcPr>
            <w:tcW w:type="dxa" w:w="3557"/>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FY2026 연율 영업이익 1.94조~2.08조. 결론 불변</w:t>
            </w:r>
          </w:p>
        </w:tc>
      </w:tr>
      <w:tr>
        <w:tc>
          <w:tcPr>
            <w:tcW w:type="dxa" w:w="168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투하자본 측정</w:t>
            </w:r>
          </w:p>
        </w:tc>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상향식 영업자본 (건설중자산 제외)</w:t>
            </w:r>
          </w:p>
        </w:tc>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하향식 / 건설중자산 포함</w:t>
            </w:r>
          </w:p>
        </w:tc>
        <w:tc>
          <w:tcPr>
            <w:tcW w:type="dxa" w:w="3557"/>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FY2024 ROIC 23.8% vs 16.5%. 기준 2·4의 통과 여부가 아니라 정도가 바뀜</w:t>
            </w:r>
          </w:p>
        </w:tc>
      </w:tr>
      <w:tr>
        <w:tc>
          <w:tcPr>
            <w:tcW w:type="dxa" w:w="168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증분 ROIC 기준</w:t>
            </w:r>
          </w:p>
        </w:tc>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매입채무 미차감</w:t>
            </w:r>
          </w:p>
        </w:tc>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매입채무 차감</w:t>
            </w:r>
          </w:p>
        </w:tc>
        <w:tc>
          <w:tcPr>
            <w:tcW w:type="dxa" w:w="3557"/>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FY2018→FY2022 구간이 125%로 튀는 것을 방지. 5년 구간 값은 큰 차이 없음</w:t>
            </w:r>
          </w:p>
        </w:tc>
      </w:tr>
      <w:tr>
        <w:tc>
          <w:tcPr>
            <w:tcW w:type="dxa" w:w="168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실효세율 하한 처리</w:t>
            </w:r>
          </w:p>
        </w:tc>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밴드(5~40%) 밖이면 법정 22% 적용</w:t>
            </w:r>
          </w:p>
        </w:tc>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밴드 경계값으로 제한 (52개 기업 분석 방식)</w:t>
            </w:r>
          </w:p>
        </w:tc>
        <w:tc>
          <w:tcPr>
            <w:tcW w:type="dxa" w:w="3557"/>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FY2019·FY2020 ROIC이 소폭 낮아짐. 가치평가 기준연도에는 영향 없음</w:t>
            </w:r>
          </w:p>
        </w:tc>
      </w:tr>
      <w:tr>
        <w:tc>
          <w:tcPr>
            <w:tcW w:type="dxa" w:w="168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유지 설비투자</w:t>
            </w:r>
          </w:p>
        </w:tc>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감가상각 ~ 설비투자 전액 범위로 제시</w:t>
            </w:r>
          </w:p>
        </w:tc>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한 값으로 확정</w:t>
            </w:r>
          </w:p>
        </w:tc>
        <w:tc>
          <w:tcPr>
            <w:tcW w:type="dxa" w:w="3557"/>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주주이익이 FY2025 1,593십억 vs 586십억. 가치평가는 항등식으로 우회</w:t>
            </w:r>
          </w:p>
        </w:tc>
      </w:tr>
      <w:tr>
        <w:tc>
          <w:tcPr>
            <w:tcW w:type="dxa" w:w="168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성장 기간</w:t>
            </w:r>
          </w:p>
        </w:tc>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10년 체감 후 영구성장</w:t>
            </w:r>
          </w:p>
        </w:tc>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15~20년 체감</w:t>
            </w:r>
          </w:p>
        </w:tc>
        <w:tc>
          <w:tcPr>
            <w:tcW w:type="dxa" w:w="3557"/>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기간을 늘리면 가치가 올라가지만 터미널 비중이 더 높아짐</w:t>
            </w:r>
          </w:p>
        </w:tc>
      </w:tr>
    </w:tbl>
    <w:p>
      <w:pPr>
        <w:spacing w:after="200"/>
      </w:pPr>
    </w:p>
    <w:p>
      <w:pPr>
        <w:spacing w:after="140" w:line="288"/>
      </w:pPr>
      <w:r>
        <w:rPr>
          <w:rFonts w:ascii="Malgun Gothic" w:cs="Malgun Gothic" w:eastAsia="Malgun Gothic" w:hAnsi="Malgun Gothic"/>
          <w:sz w:val="19"/>
          <w:szCs w:val="19"/>
        </w:rPr>
        <w:t xml:space="preserve">마지막으로, 이 문서의 모든 수치는 work/kr/sbl_raw.json (감사보고서 PDF에서 추출) → work/verify_sbl.py (111건 검증) → work/kr/sbl_valuation.json (계산) → 이 문서 순으로 흘러갑니다. 손으로 옮겨 적은 숫자는 없습니다.</w:t>
      </w:r>
    </w:p>
    <w:p>
      <w:pPr>
        <w:spacing w:after="140" w:line="288"/>
      </w:pPr>
      <w:r>
        <w:rPr>
          <w:rFonts w:ascii="Malgun Gothic" w:cs="Malgun Gothic" w:eastAsia="Malgun Gothic" w:hAnsi="Malgun Gothic"/>
          <w:sz w:val="19"/>
          <w:szCs w:val="19"/>
        </w:rPr>
        <w:t xml:space="preserve">같은 계산을 셀 단위로 따라가실 수 있도록 엑셀 파일 </w:t>
      </w:r>
      <w:r>
        <w:rPr>
          <w:rFonts w:ascii="Malgun Gothic" w:cs="Malgun Gothic" w:eastAsia="Malgun Gothic" w:hAnsi="Malgun Gothic"/>
          <w:b/>
          <w:bCs/>
          <w:sz w:val="19"/>
          <w:szCs w:val="19"/>
        </w:rPr>
        <w:t xml:space="preserve">삼성바이오로직스_버핏기준_기업분석.xlsx</w:t>
      </w:r>
      <w:r>
        <w:rPr>
          <w:rFonts w:ascii="Malgun Gothic" w:cs="Malgun Gothic" w:eastAsia="Malgun Gothic" w:hAnsi="Malgun Gothic"/>
          <w:sz w:val="19"/>
          <w:szCs w:val="19"/>
        </w:rPr>
        <w:t xml:space="preserve">를 함께 올렸습니다. 파란 글씨는 감사보고서에서 읽은 값, 검정은 같은 시트 수식, 초록은 다른 시트를 참조하는 수식, 노랑은 바꿔도 되는 가정입니다. 가정 시트의 환율이나 성장률을 바꾸면 모든 시나리오와 적정주가가 따라 움직입니다. 워크북의 수식 723개를 별도 평가기(work/verify_sbl_exports.py)로 계산해 분석 엔진과 같은 값이 나오는지 확인했고, 전부 일치합니다.</w:t>
      </w:r>
    </w:p>
    <w:sectPr>
      <w:pgSz w:w="12240" w:h="15840" w:orient="portrait"/>
      <w:pgMar w:top="1152" w:right="1080" w:bottom="1152"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2026-09-14T11:10:25.251Z</dcterms:created>
  <dcterms:modified xsi:type="dcterms:W3CDTF">2026-09-14T11:10:25.251Z</dcterms:modified>
</cp:coreProperties>
</file>

<file path=docProps/custom.xml><?xml version="1.0" encoding="utf-8"?>
<Properties xmlns="http://schemas.openxmlformats.org/officeDocument/2006/custom-properties" xmlns:vt="http://schemas.openxmlformats.org/officeDocument/2006/docPropsVTypes"/>
</file>