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F3864"/>
          <w:sz w:val="40"/>
          <w:szCs w:val="40"/>
        </w:rPr>
        <w:t xml:space="preserve">버핏 기준 52개 기업 분석</w:t>
      </w:r>
    </w:p>
    <w:p>
      <w:pPr>
        <w:pBdr>
          <w:bottom w:val="single" w:color="1F3864" w:sz="8" w:space="8"/>
        </w:pBdr>
        <w:spacing w:after="320"/>
      </w:pPr>
      <w:r>
        <w:rPr>
          <w:rFonts w:ascii="Malgun Gothic" w:cs="Malgun Gothic" w:eastAsia="Malgun Gothic" w:hAnsi="Malgun Gothic"/>
          <w:color w:val="595959"/>
          <w:sz w:val="20"/>
          <w:szCs w:val="20"/>
        </w:rPr>
        <w:t xml:space="preserve">미국 50개사 정량 분석 · 한국 2개사 정성 분석 · 생성 2026-08-11 08:18 UTC</w:t>
      </w:r>
    </w:p>
    <w:p>
      <w:pPr>
        <w:pStyle w:val="Heading1"/>
        <w:spacing w:after="160" w:before="360"/>
      </w:pPr>
      <w:r>
        <w:rPr>
          <w:rFonts w:ascii="Malgun Gothic" w:cs="Malgun Gothic" w:eastAsia="Malgun Gothic" w:hAnsi="Malgun Gothic"/>
          <w:b/>
          <w:bCs/>
          <w:color w:val="1F3864"/>
          <w:sz w:val="28"/>
          <w:szCs w:val="28"/>
        </w:rPr>
        <w:t xml:space="preserve">한눈에</w:t>
      </w:r>
    </w:p>
    <w:p>
      <w:pPr>
        <w:pStyle w:val="ListParagraph"/>
        <w:numPr>
          <w:ilvl w:val="0"/>
          <w:numId w:val="2"/>
        </w:numPr>
        <w:spacing w:after="100" w:line="276"/>
      </w:pPr>
      <w:r>
        <w:rPr>
          <w:rFonts w:ascii="Malgun Gothic" w:cs="Malgun Gothic" w:eastAsia="Malgun Gothic" w:hAnsi="Malgun Gothic"/>
          <w:sz w:val="20"/>
          <w:szCs w:val="20"/>
        </w:rPr>
        <w:t xml:space="preserve">비금융 41개사 중 36개사가 ROIC로 자본비용을 넘겼습니다. 그런데 할인율 10% 기준 DCF에서 안전마진 30% 이상인 기업은 0개입니다. 품질과 가격은 이 유니버스에서 완전히 분리돼 있습니다.</w:t>
      </w:r>
    </w:p>
    <w:p>
      <w:pPr>
        <w:pStyle w:val="ListParagraph"/>
        <w:numPr>
          <w:ilvl w:val="0"/>
          <w:numId w:val="2"/>
        </w:numPr>
        <w:spacing w:after="100" w:line="276"/>
      </w:pPr>
      <w:r>
        <w:rPr>
          <w:rFonts w:ascii="Malgun Gothic" w:cs="Malgun Gothic" w:eastAsia="Malgun Gothic" w:hAnsi="Malgun Gothic"/>
          <w:sz w:val="20"/>
          <w:szCs w:val="20"/>
        </w:rPr>
        <w:t xml:space="preserve">경계선은 0개사(없음)이고, 나머지는 전부 적정가치 추정 범위 밖에서 거래되고 있습니다.</w:t>
      </w:r>
    </w:p>
    <w:p>
      <w:pPr>
        <w:pStyle w:val="ListParagraph"/>
        <w:numPr>
          <w:ilvl w:val="0"/>
          <w:numId w:val="2"/>
        </w:numPr>
        <w:spacing w:after="100" w:line="276"/>
      </w:pPr>
      <w:r>
        <w:rPr>
          <w:rFonts w:ascii="Malgun Gothic" w:cs="Malgun Gothic" w:eastAsia="Malgun Gothic" w:hAnsi="Malgun Gothic"/>
          <w:sz w:val="20"/>
          <w:szCs w:val="20"/>
        </w:rPr>
        <w:t xml:space="preserve">주주이익이 음수인 기업이 2개(AMD, INTC)입니다. 이익이 없어서가 아니라 설비투자와 운전자본이 순이익을 넘어서기 때문입니다. 원칙 3 관점에서 이것은 데이터 공백이 아니라 사업에 대한 판정입니다.</w:t>
      </w:r>
    </w:p>
    <w:p>
      <w:pPr>
        <w:pStyle w:val="ListParagraph"/>
        <w:numPr>
          <w:ilvl w:val="0"/>
          <w:numId w:val="2"/>
        </w:numPr>
        <w:spacing w:after="100" w:line="276"/>
      </w:pPr>
      <w:r>
        <w:rPr>
          <w:rFonts w:ascii="Malgun Gothic" w:cs="Malgun Gothic" w:eastAsia="Malgun Gothic" w:hAnsi="Malgun Gothic"/>
          <w:sz w:val="20"/>
          <w:szCs w:val="20"/>
        </w:rPr>
        <w:t xml:space="preserve">금융 9개사는 ROIC·주주이익 프레임을 적용하지 않았습니다. 은행에서 부채는 자금조달이 아니라 원재료여서 투하자본이 정의되지 않습니다. ROE·레버리지·배수로만 평가했습니다.</w:t>
      </w:r>
    </w:p>
    <w:p>
      <w:pPr>
        <w:pStyle w:val="ListParagraph"/>
        <w:numPr>
          <w:ilvl w:val="0"/>
          <w:numId w:val="2"/>
        </w:numPr>
        <w:spacing w:after="100" w:line="276"/>
      </w:pPr>
      <w:r>
        <w:rPr>
          <w:rFonts w:ascii="Malgun Gothic" w:cs="Malgun Gothic" w:eastAsia="Malgun Gothic" w:hAnsi="Malgun Gothic"/>
          <w:sz w:val="20"/>
          <w:szCs w:val="20"/>
        </w:rPr>
        <w:t xml:space="preserve">검증은 50/50개사가 통과했습니다. 모든 인용 수치를 해당 10-K 원문과 대조했습니다.</w:t>
      </w:r>
    </w:p>
    <w:p>
      <w:pPr>
        <w:spacing w:after="160" w:line="260"/>
      </w:pPr>
      <w:r>
        <w:rPr>
          <w:rFonts w:ascii="Malgun Gothic" w:cs="Malgun Gothic" w:eastAsia="Malgun Gothic" w:hAnsi="Malgun Gothic"/>
          <w:i/>
          <w:iCs/>
          <w:color w:val="595959"/>
          <w:sz w:val="18"/>
          <w:szCs w:val="18"/>
        </w:rPr>
        <w:t xml:space="preserve">무위험수익률 4.65% (2026-08-07, FRED DGS10) · 주식위험프리미엄 4.46% (January 5, 2026, Damodaran)</w:t>
      </w:r>
    </w:p>
    <w:p>
      <w:pPr>
        <w:pStyle w:val="Heading1"/>
        <w:spacing w:after="160" w:before="360"/>
      </w:pPr>
      <w:r>
        <w:rPr>
          <w:rFonts w:ascii="Malgun Gothic" w:cs="Malgun Gothic" w:eastAsia="Malgun Gothic" w:hAnsi="Malgun Gothic"/>
          <w:b/>
          <w:bCs/>
          <w:color w:val="1F3864"/>
          <w:sz w:val="28"/>
          <w:szCs w:val="28"/>
        </w:rPr>
        <w:t xml:space="preserve">1. 품질 순위 — 비금융 41개사</w:t>
      </w:r>
    </w:p>
    <w:p>
      <w:pPr>
        <w:spacing w:after="120" w:line="276"/>
      </w:pPr>
      <w:r>
        <w:rPr>
          <w:rFonts w:ascii="Malgun Gothic" w:cs="Malgun Gothic" w:eastAsia="Malgun Gothic" w:hAnsi="Malgun Gothic"/>
          <w:sz w:val="20"/>
          <w:szCs w:val="20"/>
        </w:rPr>
        <w:t xml:space="preserve">점수는 사업의 질만 봅니다. 가격은 다음 절에서 따로 다룹니다. 자본비용에 못 미치는 사업은 싸다고 투자 대상이 되지 않는다는 것이 원칙 1의 요지이기 때문입니다.</w:t>
      </w:r>
    </w:p>
    <w:tbl>
      <w:tblPr>
        <w:tblW w:type="dxa" w:w="14400"/>
        <w:tblBorders>
          <w:top w:val="single" w:color="BFBFBF" w:sz="2"/>
          <w:left w:val="none"/>
          <w:bottom w:val="single" w:color="BFBFBF" w:sz="2"/>
          <w:right w:val="none"/>
          <w:insideH w:val="single" w:color="D9D9D9" w:sz="1"/>
          <w:insideV w:val="none"/>
        </w:tblBorders>
      </w:tblPr>
      <w:tblGrid>
        <w:gridCol w:w="700"/>
        <w:gridCol w:w="900"/>
        <w:gridCol w:w="3000"/>
        <w:gridCol w:w="800"/>
        <w:gridCol w:w="1400"/>
        <w:gridCol w:w="1300"/>
        <w:gridCol w:w="1600"/>
        <w:gridCol w:w="1500"/>
        <w:gridCol w:w="3200"/>
      </w:tblGrid>
      <w:tr>
        <w:trPr>
          <w:tblHeader/>
        </w:trPr>
        <w:tc>
          <w:tcPr>
            <w:tcW w:type="dxa" w:w="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순위</w:t>
            </w:r>
          </w:p>
        </w:tc>
        <w:tc>
          <w:tcPr>
            <w:tcW w:type="dxa" w:w="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티커</w:t>
            </w:r>
          </w:p>
        </w:tc>
        <w:tc>
          <w:tcPr>
            <w:tcW w:type="dxa" w:w="3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기업</w:t>
            </w:r>
          </w:p>
        </w:tc>
        <w:tc>
          <w:tcPr>
            <w:tcW w:type="dxa" w:w="8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총점</w:t>
            </w:r>
          </w:p>
        </w:tc>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ROIC 중앙값</w:t>
            </w:r>
          </w:p>
        </w:tc>
        <w:tc>
          <w:tcPr>
            <w:tcW w:type="dxa" w:w="13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두자릿수 유지</w:t>
            </w:r>
          </w:p>
        </w:tc>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신규 ROIC</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ROIC−WACC</w:t>
            </w:r>
          </w:p>
        </w:tc>
        <w:tc>
          <w:tcPr>
            <w:tcW w:type="dxa" w:w="3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해자 판정</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MA</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Mastercard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100</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105.4%</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66.0%</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52.6%</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 안정적 마진</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KLAC</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KLA CORP</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100</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52.4%</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7/7</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74.6%</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33.4%</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마진 변동은 있음</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ANET</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Arista Networks,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95</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148.0%</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29.1%</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16.7%</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마진 변동은 있음</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NVDA</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NVIDIA CORP</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95</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108.0%</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98.5%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80.0%</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마진 변동은 있음</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MSFT</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MICROSOFT CORP</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95</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100.1%</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37.6%</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21.8%</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마진 변동은 있음</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PM</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Philip Morris International Inc.</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95</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66.2%</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23.6%</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32.0%</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 안정적 마진</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V</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VISA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95</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37.9%</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10/10</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51.2%</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25.6%</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 안정적 마진</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LRCX</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LAM RESEARCH CORP</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92</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47.6%</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86.8%</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35.6%</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보통 - ROIC가 기간에 따라 흔들림</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AMAT</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APPLIED MATERIALS INC /DE</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92</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42.4%</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37.0%</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15.9%</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 안정적 마진</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KO</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COCA COLA CO</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91</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35.1%</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30.8%</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14.4%</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마진 변동은 있음</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META</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Meta Platforms,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90</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36.9%</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8/8</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28.0%</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15.4%</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보통 - ROIC가 기간에 따라 흔들림</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JNJ</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JOHNSON &amp; JOHNSON</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90</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21.3%</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8/8</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34.8%</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17.9%</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마진 변동은 있음</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HD</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HOME DEPOT,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89</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45.2%</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21.6%</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17.5%</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 안정적 마진</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14</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GOOG</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Alphabet Inc.</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87</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37.7%</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40.5%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23.1%</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마진 변동은 있음</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LLY</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ELI LILLY &amp; Co</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86</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24.3%</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54.1%</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30.0%</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마진 변동은 있음</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COST</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COSTCO WHOLESALE CORP /NEW</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82</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32.0%</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40.8%</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17.0%</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 안정적 마진</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AAPL</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Apple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80</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59.2%</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(자본 거의 불변)</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61.3%</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 안정적 마진</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18</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TXN</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TEXAS INSTRUMENTS INC</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76</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38.3%</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16.8%</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7.6%</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 안정적 마진</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19</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MRK</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Merck &amp; Co.,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76</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13.3%</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33.2%</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15.9%</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약함 - 두 자릿수 ROIC를 지킨 해가 절반 미만</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NFLX</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NETFLIX INC</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75</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19.1%</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29.9%</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17.2%</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보통 - ROIC가 기간에 따라 흔들림</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ORCL</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ORACLE CORP</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72</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70.3%</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7/7</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(자본 축소)</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42.2%</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 안정적 마진</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22</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AVGO</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Broadcom Inc.</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71</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19.2%</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8/9</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19.1%</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6.5%</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보통 - ROIC가 기간에 따라 흔들림</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23</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AMZN</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AMAZON COM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63</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30.7%</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20.4%</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8.5%</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보통 - ROIC가 기간에 따라 흔들림</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24</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PG</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PROCTER &amp; GAMBLE Co</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61</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21.2%</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9/10</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(자본 축소)</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13.2%</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보통 - ROIC가 기간에 따라 흔들림</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25</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WMT</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Walmart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59</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16.0%</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(자본 거의 불변)</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10.8%</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강함 - 장기간 두 자릿수 ROIC + 안정적 마진</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26</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DELL</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Dell Technologies Inc.</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55</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9.5%</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5/11</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69.5%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17.5%</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약함 - 두 자릿수 ROIC를 지킨 해가 절반 미만</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27</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CSCO</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CISCO SYSTEMS,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53</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23.0%</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(자본 축소)</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6.5%</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보통 - ROIC가 기간에 따라 흔들림</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28</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PLTR</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Palantir Technologies Inc.</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53</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0/0</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22.5%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10.2%</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약함 - 두 자릿수 ROIC를 지킨 해가 절반 미만</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29</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PANW</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Palo Alto Networks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48</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-12.5%</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21.6%</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7.5%</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약함 - 두 자릿수 ROIC를 지킨 해가 절반 미만</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30</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MU</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MICRON TECHNOLOGY INC</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45</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17.5%</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-0.4%</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보통 - ROIC가 기간에 따라 흔들림</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31</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ABBV</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AbbVie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42</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20.0%</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8.3%</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4.6%</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보통 - ROIC가 기간에 따라 흔들림</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32</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IBM</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INTERNATIONAL BUSINESS MACHINES CORP</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41</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14.6%</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-10.9%</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6.4%</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보통 - ROIC가 기간에 따라 흔들림</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33</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GEV</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GE Vernova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38</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8.7%</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68.7%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판정보류 — 관측 3년뿐 (분사·상장 이력)</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34</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CAT</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CATERPILLAR INC</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15.2%</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7/11</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(자본 거의 불변)</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4.4%</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약함 - 두 자릿수 ROIC를 지킨 해가 절반 미만</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35</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GE</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GENERAL ELECTRIC CO</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32</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3.6%</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3/10</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(자본 축소)</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12.6%</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약함 - 두 자릿수 ROIC를 지킨 해가 절반 미만</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36</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INTC</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INTEL CORP</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29</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12.6%</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6/10</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-11.4%</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-12.6%</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보통 - ROIC가 기간에 따라 흔들림</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RTX</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RTX Corp</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28</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6.8%</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4/12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0.8%</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약함 - 두 자릿수 ROIC를 지킨 해가 절반 미만</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38</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XOM</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EXXON MOBIL CORP</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26</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10.1%</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-3.6%</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4.6%</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약함 - 두 자릿수 ROIC를 지킨 해가 절반 미만</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39</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TSLA</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Tesla, Inc.</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26</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9.1%</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5/11</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5.2%</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-8.2%</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약함 - 두 자릿수 ROIC를 지킨 해가 절반 미만</w:t>
            </w:r>
          </w:p>
        </w:tc>
      </w:tr>
      <w:tr>
        <w:tc>
          <w:tcPr>
            <w:tcW w:type="dxa" w:w="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40</w:t>
            </w:r>
          </w:p>
        </w:tc>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AMD</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ADVANCED MICRO DEVICES INC</w:t>
            </w:r>
          </w:p>
        </w:tc>
        <w:tc>
          <w:tcPr>
            <w:tcW w:type="dxa" w:w="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22</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5.9%</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7.1%</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-9.3%</w:t>
            </w:r>
          </w:p>
        </w:tc>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약함 - 두 자릿수 ROIC를 지킨 해가 절반 미만</w:t>
            </w:r>
          </w:p>
        </w:tc>
      </w:tr>
      <w:tr>
        <w:tc>
          <w:tcPr>
            <w:tcW w:type="dxa" w:w="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41</w:t>
            </w:r>
          </w:p>
        </w:tc>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CVX</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CHEVRON CORP</w:t>
            </w:r>
          </w:p>
        </w:tc>
        <w:tc>
          <w:tcPr>
            <w:tcW w:type="dxa" w:w="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6.5%</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3/11</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-0.1%</w:t>
            </w:r>
          </w:p>
        </w:tc>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약함 - 두 자릿수 ROIC를 지킨 해가 절반 미만</w:t>
            </w:r>
          </w:p>
        </w:tc>
      </w:tr>
    </w:tbl>
    <w:p>
      <w:pPr>
        <w:spacing w:after="160" w:line="260"/>
      </w:pPr>
      <w:r>
        <w:rPr>
          <w:rFonts w:ascii="Malgun Gothic" w:cs="Malgun Gothic" w:eastAsia="Malgun Gothic" w:hAnsi="Malgun Gothic"/>
          <w:i/>
          <w:iCs/>
          <w:color w:val="595959"/>
          <w:sz w:val="18"/>
          <w:szCs w:val="18"/>
        </w:rPr>
        <w:t xml:space="preserve">배점: ROIC 중앙값 25 · 지속성 20 · 신규 ROIC 20 · ROIC−WACC 15 · 주주이익 마진 10 · 순부채/EBITDA 5 · 이자보상배율 5 (합계 100). 백분위가 아니라 절대 기준입니다.</w:t>
      </w:r>
    </w:p>
    <w:p>
      <w:pPr>
        <w:pageBreakBefore/>
      </w:pPr>
    </w:p>
    <w:p>
      <w:pPr>
        <w:pStyle w:val="Heading1"/>
        <w:spacing w:after="160" w:before="360"/>
      </w:pPr>
      <w:r>
        <w:rPr>
          <w:rFonts w:ascii="Malgun Gothic" w:cs="Malgun Gothic" w:eastAsia="Malgun Gothic" w:hAnsi="Malgun Gothic"/>
          <w:b/>
          <w:bCs/>
          <w:color w:val="1F3864"/>
          <w:sz w:val="28"/>
          <w:szCs w:val="28"/>
        </w:rPr>
        <w:t xml:space="preserve">2. 가격 — 원칙 5·6</w:t>
      </w:r>
    </w:p>
    <w:p>
      <w:pPr>
        <w:spacing w:after="120" w:line="276"/>
      </w:pPr>
      <w:r>
        <w:rPr>
          <w:rFonts w:ascii="Malgun Gothic" w:cs="Malgun Gothic" w:eastAsia="Malgun Gothic" w:hAnsi="Malgun Gothic"/>
          <w:sz w:val="20"/>
          <w:szCs w:val="20"/>
        </w:rPr>
        <w:t xml:space="preserve">주주이익 기준 2단계 DCF입니다. 기준 시나리오는 할인율 10%·영구성장 2.5%, 예측기간 10년입니다. 금액 단위는 십억 달러입니다.</w:t>
      </w:r>
    </w:p>
    <w:p>
      <w:pPr>
        <w:spacing w:after="120" w:line="276"/>
      </w:pPr>
      <w:r>
        <w:rPr>
          <w:rFonts w:ascii="Malgun Gothic" w:cs="Malgun Gothic" w:eastAsia="Malgun Gothic" w:hAnsi="Malgun Gothic"/>
          <w:sz w:val="20"/>
          <w:szCs w:val="20"/>
        </w:rPr>
        <w:t xml:space="preserve">적정가치는 하나의 숫자가 아니라 범위로 제시합니다. 하한은 설비투자 전액을 주주이익에서 차감한 것이고, 상한은 감가상각만큼만(유지 목적) 차감한 것입니다. 버핏의 주주이익 정의는 '장기 경쟁지위와 판매량을 유지하는 데 필요한' 지출을 빼라고 하므로 후자가 정의에 더 가깝지만, 인플레이션기에는 자산 교체비용이 감가상각을 넘으므로 전자가 안전한 하한입니다.</w:t>
      </w:r>
    </w:p>
    <w:p>
      <w:pPr>
        <w:spacing w:after="120" w:line="276"/>
      </w:pPr>
      <w:r>
        <w:rPr>
          <w:rFonts w:ascii="Malgun Gothic" w:cs="Malgun Gothic" w:eastAsia="Malgun Gothic" w:hAnsi="Malgun Gothic"/>
          <w:sz w:val="20"/>
          <w:szCs w:val="20"/>
        </w:rPr>
        <w:t xml:space="preserve">함축수익률은 지금 가격에 사서 가정대로 흘러갈 때 얻는 연 수익률입니다. 무위험수익률과 직접 비교하시면 됩니다. '안전마진 30% 이상인가'는 비싼 시장에서 거의 전부 '아니오'로 답이 끝나버리는 반면, 함축수익률은 종목 간 비교를 가능하게 합니다. 아래 표는 함축수익률 내림차순입니다.</w:t>
      </w:r>
    </w:p>
    <w:tbl>
      <w:tblPr>
        <w:tblW w:type="dxa" w:w="14400"/>
        <w:tblBorders>
          <w:top w:val="single" w:color="BFBFBF" w:sz="2"/>
          <w:left w:val="none"/>
          <w:bottom w:val="single" w:color="BFBFBF" w:sz="2"/>
          <w:right w:val="none"/>
          <w:insideH w:val="single" w:color="D9D9D9" w:sz="1"/>
          <w:insideV w:val="none"/>
        </w:tblBorders>
      </w:tblPr>
      <w:tblGrid>
        <w:gridCol w:w="1000"/>
        <w:gridCol w:w="1700"/>
        <w:gridCol w:w="1700"/>
        <w:gridCol w:w="1700"/>
        <w:gridCol w:w="1700"/>
        <w:gridCol w:w="1600"/>
        <w:gridCol w:w="1500"/>
        <w:gridCol w:w="1500"/>
        <w:gridCol w:w="2000"/>
      </w:tblGrid>
      <w:tr>
        <w:trPr>
          <w:tblHeader/>
        </w:trPr>
        <w:tc>
          <w:tcPr>
            <w:tcW w:type="dxa" w:w="1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티커</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주주이익 하한</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주주이익 상한</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적정가치 하한</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적정가치 상한</w:t>
            </w:r>
          </w:p>
        </w:tc>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시가총액</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함축수익률</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순현금</w:t>
            </w:r>
          </w:p>
        </w:tc>
        <w:tc>
          <w:tcPr>
            <w:tcW w:type="dxa" w:w="2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판정(하한)</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MRK</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315</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352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324</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10.6%</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-35</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META</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40</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64</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818</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1,298</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1,505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9.1%</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23</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V</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495</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498</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610</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8.8%</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MA</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408</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408</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502</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8.7%</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HD</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277</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280</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349</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8.6%</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-50</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XOM</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31</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32</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508</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522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666</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8.4%</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-33</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CVX</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281</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281</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389</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7.9%</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-43</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JNJ</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27</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27</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448</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448</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631</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7.9%</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-28</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PG</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215</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228</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340</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-24</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GOOG</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70</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112</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1,647</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2,661</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4,305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7.4%</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78</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DELL</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161</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161</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296</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6.8%</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PM</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158</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161</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290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6.7%</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-40</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MSFT</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84</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123</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1,347</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1,972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3,758</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COST</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151</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422</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ORCL</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14</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74</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204</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435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6.0%</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25</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LRCX</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153</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158</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383</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5.8%</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AAPL</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108</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108</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1,892</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1,892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4,555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-36</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KLAC</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98</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98</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252</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5.7%</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RTX</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126</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126</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301</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-26</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AMZN</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27</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48</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637</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1,145</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2,985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5.6%</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55</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AMAT</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130</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158</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414</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5.6%</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CAT</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135</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145</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390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5.4%</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-26</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NFLX</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322</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5.3%</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IBM</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84</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84</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222</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5.2%</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-48</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GE</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134</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134</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385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5.1%</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NVDA</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62</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64</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1,456</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1,526</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5,286</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4.9%</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ANET</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69</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69</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241</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4.9%</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KO</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114</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121</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374</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4.8%</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-30</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GEV</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14</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72</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267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CSCO</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126</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126</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485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4.4%</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AVGO</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18</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18</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422</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423</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2,003</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4.3%</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-49</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WMT</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18</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132</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210</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898</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4.2%</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-30</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TXN</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14</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59</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255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4.2%</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LLY</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105</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206</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1,162</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3.9%</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-35</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ABBV</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64</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66</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438</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3.6%</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-56</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TSLA</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92</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170</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1,242</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36</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PANW</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26</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26</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258</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3.4%</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MU</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66</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966</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PLTR</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419</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범위밖</w:t>
            </w:r>
          </w:p>
        </w:tc>
      </w:tr>
    </w:tbl>
    <w:p>
      <w:pPr>
        <w:spacing w:after="100" w:before="280"/>
      </w:pPr>
      <w:r>
        <w:rPr>
          <w:rFonts w:ascii="Malgun Gothic" w:cs="Malgun Gothic" w:eastAsia="Malgun Gothic" w:hAnsi="Malgun Gothic"/>
          <w:b/>
          <w:bCs/>
          <w:sz w:val="20"/>
          <w:szCs w:val="20"/>
        </w:rPr>
        <w:t xml:space="preserve">밸류에이션을 내지 않은 기업</w:t>
      </w:r>
    </w:p>
    <w:p>
      <w:pPr>
        <w:spacing w:after="120" w:line="276"/>
      </w:pPr>
      <w:r>
        <w:rPr>
          <w:rFonts w:ascii="Malgun Gothic" w:cs="Malgun Gothic" w:eastAsia="Malgun Gothic" w:hAnsi="Malgun Gothic"/>
          <w:sz w:val="20"/>
          <w:szCs w:val="20"/>
        </w:rPr>
        <w:t xml:space="preserve">아래 기업은 정규화 주주이익이 음수여서 할인할 현금흐름 자체가 없습니다. 데이터 공백이 아니라 설비투자와 운전자본이 순이익을 넘어선다는 사업 판정입니다. 금융 9개사는 프레임워크 자체가 적용되지 않아 5절에서 별도로 다룹니다.</w:t>
      </w:r>
    </w:p>
    <w:tbl>
      <w:tblPr>
        <w:tblW w:type="dxa" w:w="14400"/>
        <w:tblBorders>
          <w:top w:val="single" w:color="BFBFBF" w:sz="2"/>
          <w:left w:val="none"/>
          <w:bottom w:val="single" w:color="BFBFBF" w:sz="2"/>
          <w:right w:val="none"/>
          <w:insideH w:val="single" w:color="D9D9D9" w:sz="1"/>
          <w:insideV w:val="none"/>
        </w:tblBorders>
      </w:tblPr>
      <w:tblGrid>
        <w:gridCol w:w="1400"/>
        <w:gridCol w:w="4000"/>
        <w:gridCol w:w="9000"/>
      </w:tblGrid>
      <w:tr>
        <w:trPr>
          <w:tblHeader/>
        </w:trPr>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티커</w:t>
            </w:r>
          </w:p>
        </w:tc>
        <w:tc>
          <w:tcPr>
            <w:tcW w:type="dxa" w:w="4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기업</w:t>
            </w:r>
          </w:p>
        </w:tc>
        <w:tc>
          <w:tcPr>
            <w:tcW w:type="dxa" w:w="9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정규화 주주이익</w:t>
            </w:r>
          </w:p>
        </w:tc>
      </w:tr>
      <w:tr>
        <w:tc>
          <w:tcPr>
            <w:tcW w:type="dxa" w:w="1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AMD</w:t>
            </w:r>
          </w:p>
        </w:tc>
        <w:tc>
          <w:tcPr>
            <w:tcW w:type="dxa" w:w="4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ADVANCED MICRO DEVICES INC</w:t>
            </w:r>
          </w:p>
        </w:tc>
        <w:tc>
          <w:tcPr>
            <w:tcW w:type="dxa" w:w="9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정규화 주주이익 -0.2십억 달러</w:t>
            </w:r>
          </w:p>
        </w:tc>
      </w:tr>
      <w:tr>
        <w:tc>
          <w:tcPr>
            <w:tcW w:type="dxa" w:w="1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INTC</w:t>
            </w:r>
          </w:p>
        </w:tc>
        <w:tc>
          <w:tcPr>
            <w:tcW w:type="dxa" w:w="4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INTEL CORP</w:t>
            </w:r>
          </w:p>
        </w:tc>
        <w:tc>
          <w:tcPr>
            <w:tcW w:type="dxa" w:w="9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정규화 주주이익 -7.6십억 달러</w:t>
            </w:r>
          </w:p>
        </w:tc>
      </w:tr>
    </w:tbl>
    <w:p>
      <w:pPr>
        <w:pageBreakBefore/>
      </w:pPr>
    </w:p>
    <w:p>
      <w:pPr>
        <w:pStyle w:val="Heading1"/>
        <w:spacing w:after="160" w:before="360"/>
      </w:pPr>
      <w:r>
        <w:rPr>
          <w:rFonts w:ascii="Malgun Gothic" w:cs="Malgun Gothic" w:eastAsia="Malgun Gothic" w:hAnsi="Malgun Gothic"/>
          <w:b/>
          <w:bCs/>
          <w:color w:val="1F3864"/>
          <w:sz w:val="28"/>
          <w:szCs w:val="28"/>
        </w:rPr>
        <w:t xml:space="preserve">3. ROE의 함정 — 원칙 2</w:t>
      </w:r>
    </w:p>
    <w:p>
      <w:pPr>
        <w:spacing w:after="120" w:line="276"/>
      </w:pPr>
      <w:r>
        <w:rPr>
          <w:rFonts w:ascii="Malgun Gothic" w:cs="Malgun Gothic" w:eastAsia="Malgun Gothic" w:hAnsi="Malgun Gothic"/>
          <w:sz w:val="20"/>
          <w:szCs w:val="20"/>
        </w:rPr>
        <w:t xml:space="preserve">ROE에서 ROIC를 뺀 값이 크면 보고된 자기자본이익률이 사업의 수익성이 아니라 레버리지에서 나오고 있다는 신호입니다. 다만 자사주 매입으로 자기자본이 줄어든 경우에도 같은 형태로 벌어지므로, 부채 지표를 함께 봐야 구분됩니다. 상위 12개사입니다.</w:t>
      </w:r>
    </w:p>
    <w:tbl>
      <w:tblPr>
        <w:tblW w:type="dxa" w:w="14400"/>
        <w:tblBorders>
          <w:top w:val="single" w:color="BFBFBF" w:sz="2"/>
          <w:left w:val="none"/>
          <w:bottom w:val="single" w:color="BFBFBF" w:sz="2"/>
          <w:right w:val="none"/>
          <w:insideH w:val="single" w:color="D9D9D9" w:sz="1"/>
          <w:insideV w:val="none"/>
        </w:tblBorders>
      </w:tblPr>
      <w:tblGrid>
        <w:gridCol w:w="900"/>
        <w:gridCol w:w="1500"/>
        <w:gridCol w:w="1500"/>
        <w:gridCol w:w="1500"/>
        <w:gridCol w:w="1800"/>
        <w:gridCol w:w="1700"/>
        <w:gridCol w:w="5500"/>
      </w:tblGrid>
      <w:tr>
        <w:trPr>
          <w:tblHeader/>
        </w:trPr>
        <w:tc>
          <w:tcPr>
            <w:tcW w:type="dxa" w:w="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티커</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ROE</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ROIC</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차이</w:t>
            </w:r>
          </w:p>
        </w:tc>
        <w:tc>
          <w:tcPr>
            <w:tcW w:type="dxa" w:w="18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순부채/EBITDA</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이자보상배율</w:t>
            </w:r>
          </w:p>
        </w:tc>
        <w:tc>
          <w:tcPr>
            <w:tcW w:type="dxa" w:w="5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읽는 법</w:t>
            </w:r>
          </w:p>
        </w:tc>
      </w:tr>
      <w:tr>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ABBV</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500.0%</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11.0%</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15356.3%</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5.5x</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3.3x</w:t>
            </w:r>
          </w:p>
        </w:tc>
        <w:tc>
          <w:tcPr>
            <w:tcW w:type="dxa" w:w="55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자기자본이 마이너스이거나 0에 가까워 비율이 의미를 잃음</w:t>
            </w:r>
          </w:p>
        </w:tc>
      </w:tr>
      <w:tr>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DELL</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500.0%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39.0%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1385.1%</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1.7x</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5.7x</w:t>
            </w:r>
          </w:p>
        </w:tc>
        <w:tc>
          <w:tcPr>
            <w:tcW w:type="dxa" w:w="5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자기자본이 마이너스이거나 0에 가까워 비율이 의미를 잃음</w:t>
            </w:r>
          </w:p>
        </w:tc>
      </w:tr>
      <w:tr>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HD</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145.5%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26.5%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119.1%</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2.0x</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8.7x</w:t>
            </w:r>
          </w:p>
        </w:tc>
        <w:tc>
          <w:tcPr>
            <w:tcW w:type="dxa" w:w="55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자기자본이 마이너스이거나 0에 가까워 비율이 의미를 잃음</w:t>
            </w:r>
          </w:p>
        </w:tc>
      </w:tr>
      <w:tr>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MA</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210.5%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95.9%</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114.6%</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0.4x</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26.7x</w:t>
            </w:r>
          </w:p>
        </w:tc>
        <w:tc>
          <w:tcPr>
            <w:tcW w:type="dxa" w:w="5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자기자본이 마이너스이거나 0에 가까워 비율이 의미를 잃음</w:t>
            </w:r>
          </w:p>
        </w:tc>
      </w:tr>
      <w:tr>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LLY</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101.2%</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40.2%</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61.0%</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1.2x</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29.7x</w:t>
            </w:r>
          </w:p>
        </w:tc>
        <w:tc>
          <w:tcPr>
            <w:tcW w:type="dxa" w:w="55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레버리지가 ROE를 밀어올림</w:t>
            </w:r>
          </w:p>
        </w:tc>
      </w:tr>
      <w:tr>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AAPL</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171.4%</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113.3%</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58.1%</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0.2x</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29.9x</w:t>
            </w:r>
          </w:p>
        </w:tc>
        <w:tc>
          <w:tcPr>
            <w:tcW w:type="dxa" w:w="5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레버리지가 ROE를 밀어올림</w:t>
            </w:r>
          </w:p>
        </w:tc>
      </w:tr>
      <w:tr>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KLAC</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87.5%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53.2%</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34.3%</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0.7x</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20.7x</w:t>
            </w:r>
          </w:p>
        </w:tc>
        <w:tc>
          <w:tcPr>
            <w:tcW w:type="dxa" w:w="55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레버리지가 ROE를 밀어올림</w:t>
            </w:r>
          </w:p>
        </w:tc>
      </w:tr>
      <w:tr>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CAT</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43.5%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18.5%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25.1%</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2.0x</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w:t>
            </w:r>
          </w:p>
        </w:tc>
        <w:tc>
          <w:tcPr>
            <w:tcW w:type="dxa" w:w="5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레버리지가 ROE를 밀어올림</w:t>
            </w:r>
          </w:p>
        </w:tc>
      </w:tr>
      <w:tr>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KO</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46.0%</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24.7%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21.3%</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1.6x</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10.7x</w:t>
            </w:r>
          </w:p>
        </w:tc>
        <w:tc>
          <w:tcPr>
            <w:tcW w:type="dxa" w:w="55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레버리지가 ROE를 밀어올림</w:t>
            </w:r>
          </w:p>
        </w:tc>
      </w:tr>
      <w:tr>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IBM</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35.3%</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15.7%</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19.7%</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3.3x</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6.3x</w:t>
            </w:r>
          </w:p>
        </w:tc>
        <w:tc>
          <w:tcPr>
            <w:tcW w:type="dxa" w:w="5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레버리지가 ROE를 밀어올림</w:t>
            </w:r>
          </w:p>
        </w:tc>
      </w:tr>
      <w:tr>
        <w:tc>
          <w:tcPr>
            <w:tcW w:type="dxa" w:w="9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MRK</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36.9%</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24.7%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12.2%</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1.4x</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16.5x</w:t>
            </w:r>
          </w:p>
        </w:tc>
        <w:tc>
          <w:tcPr>
            <w:tcW w:type="dxa" w:w="55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레버리지가 ROE를 밀어올림</w:t>
            </w:r>
          </w:p>
        </w:tc>
      </w:tr>
      <w:tr>
        <w:tc>
          <w:tcPr>
            <w:tcW w:type="dxa" w:w="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AVGO</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31.0%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19.2%</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11.8%</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1.8x</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8.1x</w:t>
            </w:r>
          </w:p>
        </w:tc>
        <w:tc>
          <w:tcPr>
            <w:tcW w:type="dxa" w:w="5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레버리지가 ROE를 밀어올림</w:t>
            </w:r>
          </w:p>
        </w:tc>
      </w:tr>
    </w:tbl>
    <w:p>
      <w:pPr>
        <w:pStyle w:val="Heading1"/>
        <w:spacing w:after="160" w:before="360"/>
      </w:pPr>
      <w:r>
        <w:rPr>
          <w:rFonts w:ascii="Malgun Gothic" w:cs="Malgun Gothic" w:eastAsia="Malgun Gothic" w:hAnsi="Malgun Gothic"/>
          <w:b/>
          <w:bCs/>
          <w:color w:val="1F3864"/>
          <w:sz w:val="28"/>
          <w:szCs w:val="28"/>
        </w:rPr>
        <w:t xml:space="preserve">4. 자본배분 — 원칙 4</w:t>
      </w:r>
    </w:p>
    <w:p>
      <w:pPr>
        <w:spacing w:after="120" w:line="276"/>
      </w:pPr>
      <w:r>
        <w:rPr>
          <w:rFonts w:ascii="Malgun Gothic" w:cs="Malgun Gothic" w:eastAsia="Malgun Gothic" w:hAnsi="Malgun Gothic"/>
          <w:sz w:val="20"/>
          <w:szCs w:val="20"/>
        </w:rPr>
        <w:t xml:space="preserve">주식수 연평균 증감률입니다. 음수는 자사주 매입으로 주당 가치가 올라갔다는 뜻이고 양수는 희석입니다. 매입 상위 10개사와 희석 상위 5개사입니다.</w:t>
      </w:r>
    </w:p>
    <w:tbl>
      <w:tblPr>
        <w:tblW w:type="dxa" w:w="14400"/>
        <w:tblBorders>
          <w:top w:val="single" w:color="BFBFBF" w:sz="2"/>
          <w:left w:val="none"/>
          <w:bottom w:val="single" w:color="BFBFBF" w:sz="2"/>
          <w:right w:val="none"/>
          <w:insideH w:val="single" w:color="D9D9D9" w:sz="1"/>
          <w:insideV w:val="none"/>
        </w:tblBorders>
      </w:tblPr>
      <w:tblGrid>
        <w:gridCol w:w="1000"/>
        <w:gridCol w:w="1800"/>
        <w:gridCol w:w="2000"/>
        <w:gridCol w:w="1800"/>
        <w:gridCol w:w="7800"/>
      </w:tblGrid>
      <w:tr>
        <w:trPr>
          <w:tblHeader/>
        </w:trPr>
        <w:tc>
          <w:tcPr>
            <w:tcW w:type="dxa" w:w="1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티커</w:t>
            </w:r>
          </w:p>
        </w:tc>
        <w:tc>
          <w:tcPr>
            <w:tcW w:type="dxa" w:w="18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주식수 CAGR</w:t>
            </w:r>
          </w:p>
        </w:tc>
        <w:tc>
          <w:tcPr>
            <w:tcW w:type="dxa" w:w="2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기간</w:t>
            </w:r>
          </w:p>
        </w:tc>
        <w:tc>
          <w:tcPr>
            <w:tcW w:type="dxa" w:w="18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신규 ROIC</w:t>
            </w:r>
          </w:p>
        </w:tc>
        <w:tc>
          <w:tcPr>
            <w:tcW w:type="dxa" w:w="78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해석</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AAPL</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-4.12%</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FY2014..FY2025</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(자본 거의 불변)</w:t>
            </w:r>
          </w:p>
        </w:tc>
        <w:tc>
          <w:tcPr>
            <w:tcW w:type="dxa" w:w="78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자사주 매입으로 주당 가치 상승</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ORCL</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-4.11%</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FY2014..FY2025</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(자본 축소)</w:t>
            </w:r>
          </w:p>
        </w:tc>
        <w:tc>
          <w:tcPr>
            <w:tcW w:type="dxa" w:w="7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자사주 매입으로 주당 가치 상승</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AMAT</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-3.85%</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FY2014..FY2025</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37.0%</w:t>
            </w:r>
          </w:p>
        </w:tc>
        <w:tc>
          <w:tcPr>
            <w:tcW w:type="dxa" w:w="78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자사주 매입 — 신규 자본 수익률이 높아 재투자와 병행할 여력</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HD</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-2.44%</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FY2014..FY2025</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21.6%</w:t>
            </w:r>
          </w:p>
        </w:tc>
        <w:tc>
          <w:tcPr>
            <w:tcW w:type="dxa" w:w="7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자사주 매입 — 신규 자본 수익률이 높아 재투자와 병행할 여력</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CAT</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-2.38%</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FY2014..FY2025</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(자본 거의 불변)</w:t>
            </w:r>
          </w:p>
        </w:tc>
        <w:tc>
          <w:tcPr>
            <w:tcW w:type="dxa" w:w="78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자사주 매입으로 주당 가치 상승</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CSCO</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-2.29%</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FY2014..FY2025</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(자본 축소)</w:t>
            </w:r>
          </w:p>
        </w:tc>
        <w:tc>
          <w:tcPr>
            <w:tcW w:type="dxa" w:w="7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자사주 매입으로 주당 가치 상승</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MA</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-2.16%</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FY2014..FY2025</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66.0%</w:t>
            </w:r>
          </w:p>
        </w:tc>
        <w:tc>
          <w:tcPr>
            <w:tcW w:type="dxa" w:w="78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자사주 매입 — 신규 자본 수익률이 높아 재투자와 병행할 여력</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LRCX</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-2.13%</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FY2015..FY2026</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86.8%</w:t>
            </w:r>
          </w:p>
        </w:tc>
        <w:tc>
          <w:tcPr>
            <w:tcW w:type="dxa" w:w="7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자사주 매입 — 신규 자본 수익률이 높아 재투자와 병행할 여력</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WMT</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-1.74%</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FY2014..FY2025</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(자본 거의 불변)</w:t>
            </w:r>
          </w:p>
        </w:tc>
        <w:tc>
          <w:tcPr>
            <w:tcW w:type="dxa" w:w="78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자사주 매입으로 주당 가치 상승</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KLAC</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-1.70%</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FY2015..FY2026</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74.6%</w:t>
            </w:r>
          </w:p>
        </w:tc>
        <w:tc>
          <w:tcPr>
            <w:tcW w:type="dxa" w:w="7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자사주 매입 — 신규 자본 수익률이 높아 재투자와 병행할 여력</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RTX</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3.68%</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FY2014..FY2025</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0.8%</w:t>
            </w:r>
          </w:p>
        </w:tc>
        <w:tc>
          <w:tcPr>
            <w:tcW w:type="dxa" w:w="78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희석 — 주식 기반 보상이 주주 몫을 잠식</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DELL</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4.88%</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FY2015..FY2025</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69.5%</w:t>
            </w:r>
          </w:p>
        </w:tc>
        <w:tc>
          <w:tcPr>
            <w:tcW w:type="dxa" w:w="7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희석 — 주식 기반 보상이 주주 몫을 잠식</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TSLA</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6.45%</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FY2014..FY2025</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5.2%</w:t>
            </w:r>
          </w:p>
        </w:tc>
        <w:tc>
          <w:tcPr>
            <w:tcW w:type="dxa" w:w="78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희석 — 주식 기반 보상이 주주 몫을 잠식</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AMD</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6.98%</w:t>
            </w:r>
          </w:p>
        </w:tc>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FY2014..FY2025</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7.1%</w:t>
            </w:r>
          </w:p>
        </w:tc>
        <w:tc>
          <w:tcPr>
            <w:tcW w:type="dxa" w:w="7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희석 — 주식 기반 보상이 주주 몫을 잠식</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PLTR</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24.80%</w:t>
            </w:r>
          </w:p>
        </w:tc>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FY2018..FY2025</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22.5%</w:t>
            </w:r>
          </w:p>
        </w:tc>
        <w:tc>
          <w:tcPr>
            <w:tcW w:type="dxa" w:w="78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희석 — 주식 기반 보상이 주주 몫을 잠식</w:t>
            </w:r>
          </w:p>
        </w:tc>
      </w:tr>
    </w:tbl>
    <w:p>
      <w:pPr>
        <w:spacing w:after="160" w:line="260"/>
      </w:pPr>
      <w:r>
        <w:rPr>
          <w:rFonts w:ascii="Malgun Gothic" w:cs="Malgun Gothic" w:eastAsia="Malgun Gothic" w:hAnsi="Malgun Gothic"/>
          <w:i/>
          <w:iCs/>
          <w:color w:val="595959"/>
          <w:sz w:val="18"/>
          <w:szCs w:val="18"/>
        </w:rPr>
        <w:t xml:space="preserve">주식수는 액면분할 기준을 통일한 뒤 계산했습니다. 각 연도의 주식수는 그해 제출된 10-K의 단위로 기록되는데 10-K는 직전 2개 연도까지만 소급 수정하므로, 분할을 가로지르는 시계열을 그대로 두면 폭발적인 신주 발행처럼 보입니다. 조정 전 엔비디아는 연 41% 희석, 아마존은 연 33% 희석으로 나왔으나 실제로는 각각 4:1·10:1, 20:1 분할이었습니다. 반대로 델의 1806:1000이나 GE의 1281:1000처럼 정수가 아닌 비율은 분할이 아니라 스핀오프에 따른 주가 조정이어서 주식수에 적용하지 않았습니다.</w:t>
      </w:r>
    </w:p>
    <w:p>
      <w:pPr>
        <w:pageBreakBefore/>
      </w:pPr>
    </w:p>
    <w:p>
      <w:pPr>
        <w:pStyle w:val="Heading1"/>
        <w:spacing w:after="160" w:before="360"/>
      </w:pPr>
      <w:r>
        <w:rPr>
          <w:rFonts w:ascii="Malgun Gothic" w:cs="Malgun Gothic" w:eastAsia="Malgun Gothic" w:hAnsi="Malgun Gothic"/>
          <w:b/>
          <w:bCs/>
          <w:color w:val="1F3864"/>
          <w:sz w:val="28"/>
          <w:szCs w:val="28"/>
        </w:rPr>
        <w:t xml:space="preserve">5. 금융 9개사 — 별도 기준</w:t>
      </w:r>
    </w:p>
    <w:p>
      <w:pPr>
        <w:spacing w:after="120" w:line="276"/>
      </w:pPr>
      <w:r>
        <w:rPr>
          <w:rFonts w:ascii="Malgun Gothic" w:cs="Malgun Gothic" w:eastAsia="Malgun Gothic" w:hAnsi="Malgun Gothic"/>
          <w:sz w:val="20"/>
          <w:szCs w:val="20"/>
        </w:rPr>
        <w:t xml:space="preserve">ROIC와 주주이익은 산출하지 않았습니다. 은행·보험의 대차대조표에서 부채는 자금조달 수단이 아니라 영업 자산이고, 유동자산·유동부채 구분 자체가 존재하지 않아 투하자본과 운전자본이 정의되지 않기 때문입니다. 손으로 고른 목록이 아니라 SIC 6000~6799 기준으로 분류했습니다.</w:t>
      </w:r>
    </w:p>
    <w:tbl>
      <w:tblPr>
        <w:tblW w:type="dxa" w:w="14400"/>
        <w:tblBorders>
          <w:top w:val="single" w:color="BFBFBF" w:sz="2"/>
          <w:left w:val="none"/>
          <w:bottom w:val="single" w:color="BFBFBF" w:sz="2"/>
          <w:right w:val="none"/>
          <w:insideH w:val="single" w:color="D9D9D9" w:sz="1"/>
          <w:insideV w:val="none"/>
        </w:tblBorders>
      </w:tblPr>
      <w:tblGrid>
        <w:gridCol w:w="1000"/>
        <w:gridCol w:w="3000"/>
        <w:gridCol w:w="4400"/>
        <w:gridCol w:w="1600"/>
        <w:gridCol w:w="1500"/>
        <w:gridCol w:w="1400"/>
        <w:gridCol w:w="1500"/>
      </w:tblGrid>
      <w:tr>
        <w:trPr>
          <w:tblHeader/>
        </w:trPr>
        <w:tc>
          <w:tcPr>
            <w:tcW w:type="dxa" w:w="1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티커</w:t>
            </w:r>
          </w:p>
        </w:tc>
        <w:tc>
          <w:tcPr>
            <w:tcW w:type="dxa" w:w="3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기업</w:t>
            </w:r>
          </w:p>
        </w:tc>
        <w:tc>
          <w:tcPr>
            <w:tcW w:type="dxa" w:w="4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업종</w:t>
            </w:r>
          </w:p>
        </w:tc>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ROE 중앙값</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최근 ROE</w:t>
            </w:r>
          </w:p>
        </w:tc>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PER</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PBR</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AXP</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AMERICAN EXPRESS CO</w:t>
            </w:r>
          </w:p>
        </w:tc>
        <w:tc>
          <w:tcPr>
            <w:tcW w:type="dxa" w:w="4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Finance Services</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30.8%</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34.0%</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21.5x</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7.0x</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UNH</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UNITEDHEALTH GROUP INC</w:t>
            </w:r>
          </w:p>
        </w:tc>
        <w:tc>
          <w:tcPr>
            <w:tcW w:type="dxa" w:w="4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Hospital &amp; Medical Service Plans</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23.5%</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12.2%</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30.8x</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3.7x</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JPM</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JPMORGAN CHASE &amp; CO</w:t>
            </w:r>
          </w:p>
        </w:tc>
        <w:tc>
          <w:tcPr>
            <w:tcW w:type="dxa" w:w="4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National Commercial Banks</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12.8%</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16.1%</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17.0x</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2.7x</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WFC</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WELLS FARGO &amp; COMPANY/MN</w:t>
            </w:r>
          </w:p>
        </w:tc>
        <w:tc>
          <w:tcPr>
            <w:tcW w:type="dxa" w:w="4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National Commercial Banks</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11.8%</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12.7x</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1.5x</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MS</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MORGAN STANLEY</w:t>
            </w:r>
          </w:p>
        </w:tc>
        <w:tc>
          <w:tcPr>
            <w:tcW w:type="dxa" w:w="4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Security Brokers, Dealers &amp; Flotat</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10.9%</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15.6%</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20.3x</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3.1x</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GS</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GOLDMAN SACHS GROUP INC</w:t>
            </w:r>
          </w:p>
        </w:tc>
        <w:tc>
          <w:tcPr>
            <w:tcW w:type="dxa" w:w="4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Security Brokers, Dealers &amp; Flotat</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13.9%</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17.9x</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2.5x</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BRK-B</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BERKSHIRE HATHAWAY INC</w:t>
            </w:r>
          </w:p>
        </w:tc>
        <w:tc>
          <w:tcPr>
            <w:tcW w:type="dxa" w:w="4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Fire, Marine &amp; Casualty Insurance</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9.8%</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9.8%</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17.1x</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1.6x</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BAC</w:t>
            </w:r>
          </w:p>
        </w:tc>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BANK OF AMERICA CORP /DE/</w:t>
            </w:r>
          </w:p>
        </w:tc>
        <w:tc>
          <w:tcPr>
            <w:tcW w:type="dxa" w:w="4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National Commercial Banks</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9.3%</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10.2%</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15.0x</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1.5x</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w:t>
            </w:r>
          </w:p>
        </w:tc>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CITIGROUP INC</w:t>
            </w:r>
          </w:p>
        </w:tc>
        <w:tc>
          <w:tcPr>
            <w:tcW w:type="dxa" w:w="4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National Commercial Banks</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6.8%</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16.5x</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1.1x</w:t>
            </w:r>
          </w:p>
        </w:tc>
      </w:tr>
    </w:tbl>
    <w:p>
      <w:pPr>
        <w:pStyle w:val="Heading1"/>
        <w:spacing w:after="160" w:before="360"/>
      </w:pPr>
      <w:r>
        <w:rPr>
          <w:rFonts w:ascii="Malgun Gothic" w:cs="Malgun Gothic" w:eastAsia="Malgun Gothic" w:hAnsi="Malgun Gothic"/>
          <w:b/>
          <w:bCs/>
          <w:color w:val="1F3864"/>
          <w:sz w:val="28"/>
          <w:szCs w:val="28"/>
        </w:rPr>
        <w:t xml:space="preserve">6. 한국 2개사 — 정성 분석</w:t>
      </w:r>
    </w:p>
    <w:p>
      <w:pPr>
        <w:spacing w:after="120" w:line="276"/>
      </w:pPr>
      <w:r>
        <w:rPr>
          <w:rFonts w:ascii="Malgun Gothic" w:cs="Malgun Gothic" w:eastAsia="Malgun Gothic" w:hAnsi="Malgun Gothic"/>
          <w:b/>
          <w:bCs/>
          <w:sz w:val="20"/>
          <w:szCs w:val="20"/>
        </w:rPr>
        <w:t xml:space="preserve">이 절에는 정량 수치가 없습니다. </w:t>
      </w:r>
      <w:r>
        <w:rPr>
          <w:rFonts w:ascii="Malgun Gothic" w:cs="Malgun Gothic" w:eastAsia="Malgun Gothic" w:hAnsi="Malgun Gothic"/>
          <w:sz w:val="20"/>
          <w:szCs w:val="20"/>
        </w:rPr>
        <w:t xml:space="preserve">삼성전자와 SK하이닉스는 SEC 등록 기업이 아니라 감사받은 재무제표를 DART에 제출하며, OpenDART API는 이 환경에 없는 인증키를 요구합니다. 앞의 50개사는 모든 숫자가 제출서류의 접수번호까지 추적되는데 이 두 곳만 기억에 의존해 숫자를 적으면 보고서 전체의 기준이 무너집니다. 그래서 사업의 성격만 프레임워크에 비추어 정리하고, 공백은 공백으로 남깁니다.</w:t>
      </w:r>
    </w:p>
    <w:p>
      <w:pPr>
        <w:spacing w:after="120" w:line="276"/>
      </w:pPr>
      <w:r>
        <w:rPr>
          <w:rFonts w:ascii="Malgun Gothic" w:cs="Malgun Gothic" w:eastAsia="Malgun Gothic" w:hAnsi="Malgun Gothic"/>
          <w:b/>
          <w:bCs/>
          <w:sz w:val="20"/>
          <w:szCs w:val="20"/>
        </w:rPr>
        <w:t xml:space="preserve">두 회사 모두 원칙 1과 3이 가장 혹독하게 적용되는 업종에 있습니다. </w:t>
      </w:r>
      <w:r>
        <w:rPr>
          <w:rFonts w:ascii="Malgun Gothic" w:cs="Malgun Gothic" w:eastAsia="Malgun Gothic" w:hAnsi="Malgun Gothic"/>
          <w:sz w:val="20"/>
          <w:szCs w:val="20"/>
        </w:rPr>
        <w:t xml:space="preserve">메모리 반도체는 설비투자가 매출에 선행하고, 감가상각이 끝나기 전에 다음 세대 투자가 시작됩니다. 이 보고서의 미국 50개사에서도 같은 성질이 그대로 드러났습니다. 마이크론의 정규화 주주이익 마진은 비금융 41개 기업 중 최하위권이었고, 인텔은 주주이익이 음수였습니다. 메모리 사이클의 정점에서 순이익이 아무리 커도 주주이익 기준으로는 그 이익의 상당 부분이 다음 세대 공정에 재투입되어 주주에게 남지 않습니다.</w:t>
      </w:r>
    </w:p>
    <w:p>
      <w:pPr>
        <w:spacing w:after="120" w:line="276"/>
      </w:pPr>
      <w:r>
        <w:rPr>
          <w:rFonts w:ascii="Malgun Gothic" w:cs="Malgun Gothic" w:eastAsia="Malgun Gothic" w:hAnsi="Malgun Gothic"/>
          <w:b/>
          <w:bCs/>
          <w:sz w:val="20"/>
          <w:szCs w:val="20"/>
        </w:rPr>
        <w:t xml:space="preserve">SK하이닉스</w:t>
      </w:r>
      <w:r>
        <w:rPr>
          <w:rFonts w:ascii="Malgun Gothic" w:cs="Malgun Gothic" w:eastAsia="Malgun Gothic" w:hAnsi="Malgun Gothic"/>
          <w:sz w:val="20"/>
          <w:szCs w:val="20"/>
        </w:rPr>
        <w:t xml:space="preserve">는 HBM 비중이 커지면서 제품 믹스가 범용 D램에서 벗어나는 국면에 있습니다. 프레임워크상 이것이 해자에 해당하는지는 한 가지로 판별됩니다 — 사이클 저점에서도 ROIC가 자본비용을 넘는지입니다. 고점 ROIC는 메모리 업체에서 늘 높게 나오므로 판별력이 없습니다. 이 판정에는 최소 한 번의 완전한 사이클에 걸친 투하자본과 NOPAT 시계열이 필요하며 지금은 확보되지 않았습니다.</w:t>
      </w:r>
    </w:p>
    <w:p>
      <w:pPr>
        <w:spacing w:after="120" w:line="276"/>
      </w:pPr>
      <w:r>
        <w:rPr>
          <w:rFonts w:ascii="Malgun Gothic" w:cs="Malgun Gothic" w:eastAsia="Malgun Gothic" w:hAnsi="Malgun Gothic"/>
          <w:b/>
          <w:bCs/>
          <w:sz w:val="20"/>
          <w:szCs w:val="20"/>
        </w:rPr>
        <w:t xml:space="preserve">삼성전자</w:t>
      </w:r>
      <w:r>
        <w:rPr>
          <w:rFonts w:ascii="Malgun Gothic" w:cs="Malgun Gothic" w:eastAsia="Malgun Gothic" w:hAnsi="Malgun Gothic"/>
          <w:sz w:val="20"/>
          <w:szCs w:val="20"/>
        </w:rPr>
        <w:t xml:space="preserve">는 반도체·디스플레이·모바일이 한 재무제표에 묶여 있어 전사 ROIC가 성격이 다른 사업들의 가중평균이 됩니다. 원칙 1을 의미 있게 적용하려면 사업부문별 영업이익과 부문 자산이 필요하고 이는 사업보고서 부문정보에 공시되지만 역시 DART 접근이 전제입니다. 전사 숫자만으로 내린 판정은 파운드리의 낮은 수익률과 메모리의 높은 수익률을 뭉개버려 어느 쪽에 대해서도 답을 주지 못합니다.</w:t>
      </w:r>
    </w:p>
    <w:tbl>
      <w:tblPr>
        <w:tblW w:type="dxa" w:w="14400"/>
        <w:tblBorders>
          <w:top w:val="single" w:color="BFBFBF" w:sz="2"/>
          <w:left w:val="none"/>
          <w:bottom w:val="single" w:color="BFBFBF" w:sz="2"/>
          <w:right w:val="none"/>
          <w:insideH w:val="single" w:color="D9D9D9" w:sz="1"/>
          <w:insideV w:val="none"/>
        </w:tblBorders>
      </w:tblPr>
      <w:tblGrid>
        <w:gridCol w:w="3400"/>
        <w:gridCol w:w="5500"/>
        <w:gridCol w:w="5500"/>
      </w:tblGrid>
      <w:tr>
        <w:trPr>
          <w:tblHeader/>
        </w:trPr>
        <w:tc>
          <w:tcPr>
            <w:tcW w:type="dxa" w:w="3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항목</w:t>
            </w:r>
          </w:p>
        </w:tc>
        <w:tc>
          <w:tcPr>
            <w:tcW w:type="dxa" w:w="5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삼성전자</w:t>
            </w:r>
          </w:p>
        </w:tc>
        <w:tc>
          <w:tcPr>
            <w:tcW w:type="dxa" w:w="5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SK하이닉스</w:t>
            </w:r>
          </w:p>
        </w:tc>
      </w:tr>
      <w:tr>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원칙 1 · ROIC vs WACC</w:t>
            </w:r>
          </w:p>
        </w:tc>
        <w:tc>
          <w:tcPr>
            <w:tcW w:type="dxa" w:w="55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판정불가 — 투하자본 시계열 없음</w:t>
            </w:r>
          </w:p>
        </w:tc>
        <w:tc>
          <w:tcPr>
            <w:tcW w:type="dxa" w:w="55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판정불가 — 투하자본 시계열 없음</w:t>
            </w:r>
          </w:p>
        </w:tc>
      </w:tr>
      <w:tr>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원칙 2 · ROE 함정</w:t>
            </w:r>
          </w:p>
        </w:tc>
        <w:tc>
          <w:tcPr>
            <w:tcW w:type="dxa" w:w="5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판정불가</w:t>
            </w:r>
          </w:p>
        </w:tc>
        <w:tc>
          <w:tcPr>
            <w:tcW w:type="dxa" w:w="5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판정불가</w:t>
            </w:r>
          </w:p>
        </w:tc>
      </w:tr>
      <w:tr>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원칙 3 · 주주이익</w:t>
            </w:r>
          </w:p>
        </w:tc>
        <w:tc>
          <w:tcPr>
            <w:tcW w:type="dxa" w:w="55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판정불가 — 구조적으로 자본집약적이라는 점만 확인</w:t>
            </w:r>
          </w:p>
        </w:tc>
        <w:tc>
          <w:tcPr>
            <w:tcW w:type="dxa" w:w="55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판정불가 — 동일</w:t>
            </w:r>
          </w:p>
        </w:tc>
      </w:tr>
      <w:tr>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원칙 4 · 해자</w:t>
            </w:r>
          </w:p>
        </w:tc>
        <w:tc>
          <w:tcPr>
            <w:tcW w:type="dxa" w:w="5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부문 혼재로 전사 판정이 무의미</w:t>
            </w:r>
          </w:p>
        </w:tc>
        <w:tc>
          <w:tcPr>
            <w:tcW w:type="dxa" w:w="5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사이클 저점 ROIC가 관건, 미확보</w:t>
            </w:r>
          </w:p>
        </w:tc>
      </w:tr>
      <w:tr>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원칙 5·6 · 적정가치</w:t>
            </w:r>
          </w:p>
        </w:tc>
        <w:tc>
          <w:tcPr>
            <w:tcW w:type="dxa" w:w="55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판정불가</w:t>
            </w:r>
          </w:p>
        </w:tc>
        <w:tc>
          <w:tcPr>
            <w:tcW w:type="dxa" w:w="55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판정불가</w:t>
            </w:r>
          </w:p>
        </w:tc>
      </w:tr>
    </w:tbl>
    <w:p>
      <w:pPr>
        <w:spacing w:after="120" w:line="276"/>
      </w:pPr>
      <w:r>
        <w:rPr>
          <w:rFonts w:ascii="Malgun Gothic" w:cs="Malgun Gothic" w:eastAsia="Malgun Gothic" w:hAnsi="Malgun Gothic"/>
          <w:b/>
          <w:bCs/>
          <w:sz w:val="20"/>
          <w:szCs w:val="20"/>
        </w:rPr>
        <w:t xml:space="preserve">이 공백을 메우려면 </w:t>
      </w:r>
      <w:r>
        <w:rPr>
          <w:rFonts w:ascii="Malgun Gothic" w:cs="Malgun Gothic" w:eastAsia="Malgun Gothic" w:hAnsi="Malgun Gothic"/>
          <w:sz w:val="20"/>
          <w:szCs w:val="20"/>
        </w:rPr>
        <w:t xml:space="preserve">OpenDART 인증키(무료 발급) 하나면 됩니다. 키가 있으면 두 회사의 사업보고서 XBRL에서 미국 50개사와 동일한 항목을 동일한 방식으로 뽑아낼 수 있고, 접수번호 단위 출처와 PHASE 6 재검증까지 같은 파이프라인을 태울 수 있습니다.</w:t>
      </w:r>
    </w:p>
    <w:p>
      <w:pPr>
        <w:pageBreakBefore/>
      </w:pPr>
    </w:p>
    <w:p>
      <w:pPr>
        <w:pStyle w:val="Heading1"/>
        <w:spacing w:after="160" w:before="360"/>
      </w:pPr>
      <w:r>
        <w:rPr>
          <w:rFonts w:ascii="Malgun Gothic" w:cs="Malgun Gothic" w:eastAsia="Malgun Gothic" w:hAnsi="Malgun Gothic"/>
          <w:b/>
          <w:bCs/>
          <w:color w:val="1F3864"/>
          <w:sz w:val="28"/>
          <w:szCs w:val="28"/>
        </w:rPr>
        <w:t xml:space="preserve">7. 알파벳 사례 — 모델 맹점 점검</w:t>
      </w:r>
    </w:p>
    <w:p>
      <w:pPr>
        <w:spacing w:after="120" w:line="276"/>
      </w:pPr>
      <w:r>
        <w:rPr>
          <w:rFonts w:ascii="Malgun Gothic" w:cs="Malgun Gothic" w:eastAsia="Malgun Gothic" w:hAnsi="Malgun Gothic"/>
          <w:sz w:val="20"/>
          <w:szCs w:val="20"/>
        </w:rPr>
        <w:t xml:space="preserve">이 절은 반례에서 출발합니다. 초판은 알파벳이 낙관 시나리오에서도 적정가치보다 비싸다고 판정했는데, 같은 기간 버크셔 해서웨이는 알파벳을 대규모로 매입했습니다. 둘 중 하나는 틀렸다는 뜻이므로 원인을 추적했고, 의견 차이가 아니라 모델의 실제 결함 세 가지가 나왔습니다.</w:t>
      </w:r>
    </w:p>
    <w:p>
      <w:pPr>
        <w:spacing w:after="100" w:before="240"/>
      </w:pPr>
      <w:r>
        <w:rPr>
          <w:rFonts w:ascii="Malgun Gothic" w:cs="Malgun Gothic" w:eastAsia="Malgun Gothic" w:hAnsi="Malgun Gothic"/>
          <w:b/>
          <w:bCs/>
          <w:sz w:val="20"/>
          <w:szCs w:val="20"/>
        </w:rPr>
        <w:t xml:space="preserve">사실 확인 — 버크셔의 알파벳 보유 (SEC 13F 원문)</w:t>
      </w:r>
    </w:p>
    <w:tbl>
      <w:tblPr>
        <w:tblW w:type="dxa" w:w="14400"/>
        <w:tblBorders>
          <w:top w:val="single" w:color="BFBFBF" w:sz="2"/>
          <w:left w:val="none"/>
          <w:bottom w:val="single" w:color="BFBFBF" w:sz="2"/>
          <w:right w:val="none"/>
          <w:insideH w:val="single" w:color="D9D9D9" w:sz="1"/>
          <w:insideV w:val="none"/>
        </w:tblBorders>
      </w:tblPr>
      <w:tblGrid>
        <w:gridCol w:w="2400"/>
        <w:gridCol w:w="2400"/>
        <w:gridCol w:w="5200"/>
        <w:gridCol w:w="4400"/>
      </w:tblGrid>
      <w:tr>
        <w:trPr>
          <w:tblHeader/>
        </w:trPr>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13F 제출일</w:t>
            </w:r>
          </w:p>
        </w:tc>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보유 시점</w:t>
            </w:r>
          </w:p>
        </w:tc>
        <w:tc>
          <w:tcPr>
            <w:tcW w:type="dxa" w:w="5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보유 주식수</w:t>
            </w:r>
          </w:p>
        </w:tc>
        <w:tc>
          <w:tcPr>
            <w:tcW w:type="dxa" w:w="4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평가액</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2025-11-14</w:t>
            </w:r>
          </w:p>
        </w:tc>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Q3 2025</w:t>
            </w:r>
          </w:p>
        </w:tc>
        <w:tc>
          <w:tcPr>
            <w:tcW w:type="dxa" w:w="5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17,846,142주 (Class A)</w:t>
            </w:r>
          </w:p>
        </w:tc>
        <w:tc>
          <w:tcPr>
            <w:tcW w:type="dxa" w:w="4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$4.34B — 신규 편입</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2026-02-17</w:t>
            </w:r>
          </w:p>
        </w:tc>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Q4 2025</w:t>
            </w:r>
          </w:p>
        </w:tc>
        <w:tc>
          <w:tcPr>
            <w:tcW w:type="dxa" w:w="5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17,846,142주 (Class A)</w:t>
            </w:r>
          </w:p>
        </w:tc>
        <w:tc>
          <w:tcPr>
            <w:tcW w:type="dxa" w:w="4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$5.59B — 주식수 동일</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2026-05-15</w:t>
            </w:r>
          </w:p>
        </w:tc>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Q1 2026</w:t>
            </w:r>
          </w:p>
        </w:tc>
        <w:tc>
          <w:tcPr>
            <w:tcW w:type="dxa" w:w="52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54,249,798주 (A) + 3,585,215주 (C)</w:t>
            </w:r>
          </w:p>
        </w:tc>
        <w:tc>
          <w:tcPr>
            <w:tcW w:type="dxa" w:w="4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$16.63B</w:t>
            </w:r>
          </w:p>
        </w:tc>
      </w:tr>
    </w:tbl>
    <w:p>
      <w:pPr>
        <w:spacing w:after="160" w:line="260"/>
      </w:pPr>
      <w:r>
        <w:rPr>
          <w:rFonts w:ascii="Malgun Gothic" w:cs="Malgun Gothic" w:eastAsia="Malgun Gothic" w:hAnsi="Malgun Gothic"/>
          <w:i/>
          <w:iCs/>
          <w:color w:val="595959"/>
          <w:sz w:val="18"/>
          <w:szCs w:val="18"/>
        </w:rPr>
        <w:t xml:space="preserve">출처: EDGAR CIK 0001067983, 접수번호 0001193125-25-282901 · 0001193125-26-054580 · 0001193125-26-226661. Q1 2026에 3배로 늘렸고 신고 포트폴리오(약 $263B)의 6% 수준입니다.</w:t>
      </w:r>
    </w:p>
    <w:p>
      <w:pPr>
        <w:spacing w:after="100" w:before="240"/>
      </w:pPr>
      <w:r>
        <w:rPr>
          <w:rFonts w:ascii="Malgun Gothic" w:cs="Malgun Gothic" w:eastAsia="Malgun Gothic" w:hAnsi="Malgun Gothic"/>
          <w:b/>
          <w:bCs/>
          <w:sz w:val="20"/>
          <w:szCs w:val="20"/>
        </w:rPr>
        <w:t xml:space="preserve">결함 1 — 성장 설비투자를 사업 악화로 계산했습니다 (가장 큼)</w:t>
      </w:r>
    </w:p>
    <w:p>
      <w:pPr>
        <w:spacing w:after="120" w:line="276"/>
      </w:pPr>
      <w:r>
        <w:rPr>
          <w:rFonts w:ascii="Malgun Gothic" w:cs="Malgun Gothic" w:eastAsia="Malgun Gothic" w:hAnsi="Malgun Gothic"/>
          <w:sz w:val="20"/>
          <w:szCs w:val="20"/>
        </w:rPr>
        <w:t xml:space="preserve">버핏의 주주이익 정의는 '장기 경쟁지위와 판매량을 유지하는 데 필요한' 자본적 지출을 빼라고 합니다. 유지 목적 지출이지 자본예산 전체가 아닙니다. 초판은 설비투자 전액을 차감했습니다. 알파벳 최근 회계연도는 설비투자 $91.4B에 감가상각 $21.1B로, 차액 $70B — 설비투자의 77%가 증설 투자입니다. 이걸 전액 비용으로 치면 AI 데이터센터를 짓는 행위가 수익성 악화로 기록됩니다.</w:t>
      </w:r>
    </w:p>
    <w:p>
      <w:pPr>
        <w:spacing w:after="120" w:line="276"/>
      </w:pPr>
      <w:r>
        <w:rPr>
          <w:rFonts w:ascii="Malgun Gothic" w:cs="Malgun Gothic" w:eastAsia="Malgun Gothic" w:hAnsi="Malgun Gothic"/>
          <w:sz w:val="20"/>
          <w:szCs w:val="20"/>
        </w:rPr>
        <w:t xml:space="preserve">이 결함은 알파벳만의 문제가 아니었습니다. 테슬라와 팔란티어는 '주주이익 음수'로 분류돼 밸류에이션 자체가 배제돼 있었는데, 성장 투자 때문이었지 사업이 나빠서가 아니었습니다. 유지 설비투자 기준으로는 음수인 기업이 하나도 없습니다.</w:t>
      </w:r>
    </w:p>
    <w:p>
      <w:pPr>
        <w:spacing w:after="100" w:before="240"/>
      </w:pPr>
      <w:r>
        <w:rPr>
          <w:rFonts w:ascii="Malgun Gothic" w:cs="Malgun Gothic" w:eastAsia="Malgun Gothic" w:hAnsi="Malgun Gothic"/>
          <w:b/>
          <w:bCs/>
          <w:sz w:val="20"/>
          <w:szCs w:val="20"/>
        </w:rPr>
        <w:t xml:space="preserve">결함 2 — 현금을 십억 단위로 잘못 봤습니다</w:t>
      </w:r>
    </w:p>
    <w:tbl>
      <w:tblPr>
        <w:tblW w:type="dxa" w:w="14400"/>
        <w:tblBorders>
          <w:top w:val="single" w:color="BFBFBF" w:sz="2"/>
          <w:left w:val="none"/>
          <w:bottom w:val="single" w:color="BFBFBF" w:sz="2"/>
          <w:right w:val="none"/>
          <w:insideH w:val="single" w:color="D9D9D9" w:sz="1"/>
          <w:insideV w:val="none"/>
        </w:tblBorders>
      </w:tblPr>
      <w:tblGrid>
        <w:gridCol w:w="4400"/>
        <w:gridCol w:w="5000"/>
        <w:gridCol w:w="5000"/>
      </w:tblGrid>
      <w:tr>
        <w:trPr>
          <w:tblHeader/>
        </w:trPr>
        <w:tc>
          <w:tcPr>
            <w:tcW w:type="dxa" w:w="4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항목</w:t>
            </w:r>
          </w:p>
        </w:tc>
        <w:tc>
          <w:tcPr>
            <w:tcW w:type="dxa" w:w="5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수정 전</w:t>
            </w:r>
          </w:p>
        </w:tc>
        <w:tc>
          <w:tcPr>
            <w:tcW w:type="dxa" w:w="5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수정 후</w:t>
            </w:r>
          </w:p>
        </w:tc>
      </w:tr>
      <w:tr>
        <w:tc>
          <w:tcPr>
            <w:tcW w:type="dxa" w:w="4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유동자산</w:t>
            </w:r>
          </w:p>
        </w:tc>
        <w:tc>
          <w:tcPr>
            <w:tcW w:type="dxa" w:w="5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$30.7B</w:t>
            </w:r>
          </w:p>
        </w:tc>
        <w:tc>
          <w:tcPr>
            <w:tcW w:type="dxa" w:w="5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$126.8B</w:t>
            </w:r>
          </w:p>
        </w:tc>
      </w:tr>
      <w:tr>
        <w:tc>
          <w:tcPr>
            <w:tcW w:type="dxa" w:w="4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순현금</w:t>
            </w:r>
          </w:p>
        </w:tc>
        <w:tc>
          <w:tcPr>
            <w:tcW w:type="dxa" w:w="5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−$18B</w:t>
            </w:r>
          </w:p>
        </w:tc>
        <w:tc>
          <w:tcPr>
            <w:tcW w:type="dxa" w:w="5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+$78B</w:t>
            </w:r>
          </w:p>
        </w:tc>
      </w:tr>
      <w:tr>
        <w:tc>
          <w:tcPr>
            <w:tcW w:type="dxa" w:w="4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ROIC (최근)</w:t>
            </w:r>
          </w:p>
        </w:tc>
        <w:tc>
          <w:tcPr>
            <w:tcW w:type="dxa" w:w="5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35.4%</w:t>
            </w:r>
          </w:p>
        </w:tc>
        <w:tc>
          <w:tcPr>
            <w:tcW w:type="dxa" w:w="5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45.7%</w:t>
            </w:r>
          </w:p>
        </w:tc>
      </w:tr>
    </w:tbl>
    <w:p>
      <w:pPr>
        <w:spacing w:after="120" w:line="276"/>
      </w:pPr>
      <w:r>
        <w:rPr>
          <w:rFonts w:ascii="Malgun Gothic" w:cs="Malgun Gothic" w:eastAsia="Malgun Gothic" w:hAnsi="Malgun Gothic"/>
          <w:sz w:val="20"/>
          <w:szCs w:val="20"/>
        </w:rPr>
        <w:t xml:space="preserve">현금 태그 하나만 읽고 유동 유가증권 $96B를 통째로 놓치고 있었습니다. 그 결과 투하자본이 과대계상돼 ROIC가 낮게 나왔고 순현금 부호가 뒤집혀 있었습니다. 운전자본 계산에서도 유가증권이 빠지므로 주주이익이 더 정확해집니다.</w:t>
      </w:r>
    </w:p>
    <w:p>
      <w:pPr>
        <w:spacing w:after="100" w:before="240"/>
      </w:pPr>
      <w:r>
        <w:rPr>
          <w:rFonts w:ascii="Malgun Gothic" w:cs="Malgun Gothic" w:eastAsia="Malgun Gothic" w:hAnsi="Malgun Gothic"/>
          <w:b/>
          <w:bCs/>
          <w:sz w:val="20"/>
          <w:szCs w:val="20"/>
        </w:rPr>
        <w:t xml:space="preserve">결함 3 — 태그 전환으로 생긴 연도 구멍</w:t>
      </w:r>
    </w:p>
    <w:p>
      <w:pPr>
        <w:spacing w:after="120" w:line="276"/>
      </w:pPr>
      <w:r>
        <w:rPr>
          <w:rFonts w:ascii="Malgun Gothic" w:cs="Malgun Gothic" w:eastAsia="Malgun Gothic" w:hAnsi="Malgun Gothic"/>
          <w:sz w:val="20"/>
          <w:szCs w:val="20"/>
        </w:rPr>
        <w:t xml:space="preserve">알파벳은 매출 태그를 중간에 바꿔서 어느 한 태그도 10년을 온전히 덮지 못했고, FY2022 매출이 비어 있었습니다. 이제 두 태그가 겹치는 모든 연도에서 값이 정확히 일치할 때만(알파벳은 8개 연도 일치) 빈 연도를 메웁니다. 값이 하나라도 다르면 서로 다른 개념이므로 구멍을 그대로 둡니다.</w:t>
      </w:r>
    </w:p>
    <w:p>
      <w:pPr>
        <w:spacing w:after="100" w:before="240"/>
      </w:pPr>
      <w:r>
        <w:rPr>
          <w:rFonts w:ascii="Malgun Gothic" w:cs="Malgun Gothic" w:eastAsia="Malgun Gothic" w:hAnsi="Malgun Gothic"/>
          <w:b/>
          <w:bCs/>
          <w:sz w:val="20"/>
          <w:szCs w:val="20"/>
        </w:rPr>
        <w:t xml:space="preserve">남는 것은 판단 차이입니다</w:t>
      </w:r>
    </w:p>
    <w:tbl>
      <w:tblPr>
        <w:tblW w:type="dxa" w:w="14400"/>
        <w:tblBorders>
          <w:top w:val="single" w:color="BFBFBF" w:sz="2"/>
          <w:left w:val="none"/>
          <w:bottom w:val="single" w:color="BFBFBF" w:sz="2"/>
          <w:right w:val="none"/>
          <w:insideH w:val="single" w:color="D9D9D9" w:sz="1"/>
          <w:insideV w:val="none"/>
        </w:tblBorders>
      </w:tblPr>
      <w:tblGrid>
        <w:gridCol w:w="2400"/>
        <w:gridCol w:w="4200"/>
        <w:gridCol w:w="4200"/>
        <w:gridCol w:w="3600"/>
      </w:tblGrid>
      <w:tr>
        <w:trPr>
          <w:tblHeader/>
        </w:trPr>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시나리오</w:t>
            </w:r>
          </w:p>
        </w:tc>
        <w:tc>
          <w:tcPr>
            <w:tcW w:type="dxa" w:w="4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적정가치 하한(총 설비투자)</w:t>
            </w:r>
          </w:p>
        </w:tc>
        <w:tc>
          <w:tcPr>
            <w:tcW w:type="dxa" w:w="4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적정가치 상한(유지 설비투자)</w:t>
            </w:r>
          </w:p>
        </w:tc>
        <w:tc>
          <w:tcPr>
            <w:tcW w:type="dxa" w:w="3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안전마진 범위</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보수</w:t>
            </w:r>
          </w:p>
        </w:tc>
        <w:tc>
          <w:tcPr>
            <w:tcW w:type="dxa" w:w="42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1,098</w:t>
            </w:r>
          </w:p>
        </w:tc>
        <w:tc>
          <w:tcPr>
            <w:tcW w:type="dxa" w:w="42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1,774</w:t>
            </w:r>
          </w:p>
        </w:tc>
        <w:tc>
          <w:tcPr>
            <w:tcW w:type="dxa" w:w="3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-292% ~ -143%</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기준</w:t>
            </w:r>
          </w:p>
        </w:tc>
        <w:tc>
          <w:tcPr>
            <w:tcW w:type="dxa" w:w="4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1,647</w:t>
            </w:r>
          </w:p>
        </w:tc>
        <w:tc>
          <w:tcPr>
            <w:tcW w:type="dxa" w:w="4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2,661</w:t>
            </w:r>
          </w:p>
        </w:tc>
        <w:tc>
          <w:tcPr>
            <w:tcW w:type="dxa" w:w="3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-161% ~ -62%</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낙관</w:t>
            </w:r>
          </w:p>
        </w:tc>
        <w:tc>
          <w:tcPr>
            <w:tcW w:type="dxa" w:w="42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3,685</w:t>
            </w:r>
          </w:p>
        </w:tc>
        <w:tc>
          <w:tcPr>
            <w:tcW w:type="dxa" w:w="42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5,954</w:t>
            </w:r>
          </w:p>
        </w:tc>
        <w:tc>
          <w:tcPr>
            <w:tcW w:type="dxa" w:w="36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-17% ~ 28%</w:t>
            </w:r>
          </w:p>
        </w:tc>
      </w:tr>
    </w:tbl>
    <w:p>
      <w:pPr>
        <w:spacing w:after="120" w:line="276"/>
      </w:pPr>
      <w:r>
        <w:rPr>
          <w:rFonts w:ascii="Malgun Gothic" w:cs="Malgun Gothic" w:eastAsia="Malgun Gothic" w:hAnsi="Malgun Gothic"/>
          <w:sz w:val="20"/>
          <w:szCs w:val="20"/>
        </w:rPr>
        <w:t xml:space="preserve">시가총액 $4,305B 기준입니다. 낙관 시나리오에 유지 설비투자를 적용하면 안전마진이 28%로 플러스가 되고, 순현금 $78B를 더하면 투자가능 기준선인 30%에 닿습니다. 다만 이건 낙관 가정과 유지 설비투자 가정을 동시에 채택한 결과이므로, 기준 시나리오가 여전히 비싸다는 사실을 덮지는 않습니다.</w:t>
      </w:r>
    </w:p>
    <w:p>
      <w:pPr>
        <w:spacing w:after="100" w:before="240"/>
      </w:pPr>
      <w:r>
        <w:rPr>
          <w:rFonts w:ascii="Malgun Gothic" w:cs="Malgun Gothic" w:eastAsia="Malgun Gothic" w:hAnsi="Malgun Gothic"/>
          <w:b/>
          <w:bCs/>
          <w:sz w:val="20"/>
          <w:szCs w:val="20"/>
        </w:rPr>
        <w:t xml:space="preserve">버크셔가 본 것에 대한 추정</w:t>
      </w:r>
    </w:p>
    <w:tbl>
      <w:tblPr>
        <w:tblW w:type="dxa" w:w="14400"/>
        <w:tblBorders>
          <w:top w:val="single" w:color="BFBFBF" w:sz="2"/>
          <w:left w:val="none"/>
          <w:bottom w:val="single" w:color="BFBFBF" w:sz="2"/>
          <w:right w:val="none"/>
          <w:insideH w:val="single" w:color="D9D9D9" w:sz="1"/>
          <w:insideV w:val="none"/>
        </w:tblBorders>
      </w:tblPr>
      <w:tblGrid>
        <w:gridCol w:w="2400"/>
        <w:gridCol w:w="4000"/>
        <w:gridCol w:w="4000"/>
        <w:gridCol w:w="4000"/>
      </w:tblGrid>
      <w:tr>
        <w:trPr>
          <w:tblHeader/>
        </w:trPr>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티커</w:t>
            </w:r>
          </w:p>
        </w:tc>
        <w:tc>
          <w:tcPr>
            <w:tcW w:type="dxa" w:w="4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함축수익률</w:t>
            </w:r>
          </w:p>
        </w:tc>
        <w:tc>
          <w:tcPr>
            <w:tcW w:type="dxa" w:w="4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ROIC 중앙값</w:t>
            </w:r>
          </w:p>
        </w:tc>
        <w:tc>
          <w:tcPr>
            <w:tcW w:type="dxa" w:w="4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7"/>
                <w:szCs w:val="17"/>
              </w:rPr>
              <w:t xml:space="preserve">순현금($B)</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MRK</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10.6%</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13.3%</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-35</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META</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9.1%</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36.9%</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23</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V</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8.8%</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37.9%</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MA</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8.7%</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105.4%</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HD</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8.6%</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45.2%</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-50</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XOM</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8.4%</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10.1%</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-33</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CVX</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7.9%</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6.5%</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-43</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JNJ</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7.9%</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21.3%</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-28</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PG</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7.5%</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21.2%</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-24</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GOOG ←</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7.4%</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37.7%</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78</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DELL</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6.8%</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9.5%</w:t>
            </w:r>
          </w:p>
        </w:tc>
        <w:tc>
          <w:tcPr>
            <w:tcW w:type="dxa" w:w="4000"/>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-20</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7"/>
                <w:szCs w:val="17"/>
              </w:rPr>
              <w:t xml:space="preserve">PM</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6.7%</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66.2%</w:t>
            </w:r>
          </w:p>
        </w:tc>
        <w:tc>
          <w:tcPr>
            <w:tcW w:type="dxa" w:w="4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7"/>
                <w:szCs w:val="17"/>
              </w:rPr>
              <w:t xml:space="preserve">-40</w:t>
            </w:r>
          </w:p>
        </w:tc>
      </w:tr>
    </w:tbl>
    <w:p>
      <w:pPr>
        <w:spacing w:after="120" w:line="276"/>
      </w:pPr>
      <w:r>
        <w:rPr>
          <w:rFonts w:ascii="Malgun Gothic" w:cs="Malgun Gothic" w:eastAsia="Malgun Gothic" w:hAnsi="Malgun Gothic"/>
          <w:sz w:val="20"/>
          <w:szCs w:val="20"/>
        </w:rPr>
        <w:t xml:space="preserve">알파벳은 함축수익률 자체로는 상위권이되 1위가 아닙니다. 눈에 띄는 건 조합입니다. 위에 있는 종목들은 대부분 품질이 낮거나 순부채 상태인데, 알파벳은 ROIC 중앙값이 높고 오랫동안 두 자릿수를 지켰으며 목록에서 가장 큰 순현금을 들고 있습니다. 그리고 버크셔의 대안은 4.7% 단기국채입니다. 이 프레임워크의 '안전마진 30%' 문턱은 절대 기준이라 비싼 시장에서는 모든 종목에 '아니오'를 돌려주고 대화를 끝내버리지만, 실제 자본배분은 언제나 상대적입니다.</w:t>
      </w:r>
    </w:p>
    <w:p>
      <w:pPr>
        <w:spacing w:after="160" w:line="260"/>
      </w:pPr>
      <w:r>
        <w:rPr>
          <w:rFonts w:ascii="Malgun Gothic" w:cs="Malgun Gothic" w:eastAsia="Malgun Gothic" w:hAnsi="Malgun Gothic"/>
          <w:i/>
          <w:iCs/>
          <w:color w:val="595959"/>
          <w:sz w:val="18"/>
          <w:szCs w:val="18"/>
        </w:rPr>
        <w:t xml:space="preserve">단서 두 가지. 첫째, 13F는 보유만 공시하고 매수 이유를 밝히지 않으므로 위 해석은 추정입니다. 둘째, 이 판단이 버핏 본인의 것인지 투자 담당이나 후임 경영진의 것인지는 공시로 알 수 없습니다.</w:t>
      </w:r>
    </w:p>
    <w:p>
      <w:pPr>
        <w:spacing w:after="100" w:before="240"/>
      </w:pPr>
      <w:r>
        <w:rPr>
          <w:rFonts w:ascii="Malgun Gothic" w:cs="Malgun Gothic" w:eastAsia="Malgun Gothic" w:hAnsi="Malgun Gothic"/>
          <w:b/>
          <w:bCs/>
          <w:sz w:val="20"/>
          <w:szCs w:val="20"/>
        </w:rPr>
        <w:t xml:space="preserve">이 사례가 남긴 구조적 한계</w:t>
      </w:r>
    </w:p>
    <w:p>
      <w:pPr>
        <w:pStyle w:val="ListParagraph"/>
        <w:numPr>
          <w:ilvl w:val="0"/>
          <w:numId w:val="2"/>
        </w:numPr>
        <w:spacing w:after="100" w:line="276"/>
      </w:pPr>
      <w:r>
        <w:rPr>
          <w:rFonts w:ascii="Malgun Gothic" w:cs="Malgun Gothic" w:eastAsia="Malgun Gothic" w:hAnsi="Malgun Gothic"/>
          <w:b/>
          <w:bCs/>
          <w:sz w:val="20"/>
          <w:szCs w:val="20"/>
        </w:rPr>
        <w:t xml:space="preserve">과거만 봅니다. </w:t>
      </w:r>
      <w:r>
        <w:rPr>
          <w:rFonts w:ascii="Malgun Gothic" w:cs="Malgun Gothic" w:eastAsia="Malgun Gothic" w:hAnsi="Malgun Gothic"/>
          <w:sz w:val="20"/>
          <w:szCs w:val="20"/>
        </w:rPr>
        <w:t xml:space="preserve">성장률은 과거 주주이익 CAGR에서 나오고 상한이 걸립니다. 사업이 변곡점에 있다면 과거 시계열에는 그 정보가 없습니다.</w:t>
      </w:r>
    </w:p>
    <w:p>
      <w:pPr>
        <w:pStyle w:val="ListParagraph"/>
        <w:numPr>
          <w:ilvl w:val="0"/>
          <w:numId w:val="2"/>
        </w:numPr>
        <w:spacing w:after="100" w:line="276"/>
      </w:pPr>
      <w:r>
        <w:rPr>
          <w:rFonts w:ascii="Malgun Gothic" w:cs="Malgun Gothic" w:eastAsia="Malgun Gothic" w:hAnsi="Malgun Gothic"/>
          <w:b/>
          <w:bCs/>
          <w:sz w:val="20"/>
          <w:szCs w:val="20"/>
        </w:rPr>
        <w:t xml:space="preserve">비영업 자산을 값으로 치지 않습니다. </w:t>
      </w:r>
      <w:r>
        <w:rPr>
          <w:rFonts w:ascii="Malgun Gothic" w:cs="Malgun Gothic" w:eastAsia="Malgun Gothic" w:hAnsi="Malgun Gothic"/>
          <w:sz w:val="20"/>
          <w:szCs w:val="20"/>
        </w:rPr>
        <w:t xml:space="preserve">웨이모 같은 사업, 지분투자, 순현금은 이익 흐름에만 근거한 DCF에 들어오지 않습니다. 순현금은 별도 열로 표시만 했습니다.</w:t>
      </w:r>
    </w:p>
    <w:p>
      <w:pPr>
        <w:pStyle w:val="ListParagraph"/>
        <w:numPr>
          <w:ilvl w:val="0"/>
          <w:numId w:val="2"/>
        </w:numPr>
        <w:spacing w:after="100" w:line="276"/>
      </w:pPr>
      <w:r>
        <w:rPr>
          <w:rFonts w:ascii="Malgun Gothic" w:cs="Malgun Gothic" w:eastAsia="Malgun Gothic" w:hAnsi="Malgun Gothic"/>
          <w:b/>
          <w:bCs/>
          <w:sz w:val="20"/>
          <w:szCs w:val="20"/>
        </w:rPr>
        <w:t xml:space="preserve">할인율이 고정입니다. </w:t>
      </w:r>
      <w:r>
        <w:rPr>
          <w:rFonts w:ascii="Malgun Gothic" w:cs="Malgun Gothic" w:eastAsia="Malgun Gothic" w:hAnsi="Malgun Gothic"/>
          <w:sz w:val="20"/>
          <w:szCs w:val="20"/>
        </w:rPr>
        <w:t xml:space="preserve">8·10·12%는 대안 수익률과 무관하게 고정돼 있습니다. 무위험수익률이 4.7%인 국면에서 10%를 요구하는 것은 상당히 높은 문턱입니다.</w:t>
      </w:r>
    </w:p>
    <w:p>
      <w:pPr>
        <w:pStyle w:val="ListParagraph"/>
        <w:numPr>
          <w:ilvl w:val="0"/>
          <w:numId w:val="2"/>
        </w:numPr>
        <w:spacing w:after="100" w:line="276"/>
      </w:pPr>
      <w:r>
        <w:rPr>
          <w:rFonts w:ascii="Malgun Gothic" w:cs="Malgun Gothic" w:eastAsia="Malgun Gothic" w:hAnsi="Malgun Gothic"/>
          <w:b/>
          <w:bCs/>
          <w:sz w:val="20"/>
          <w:szCs w:val="20"/>
        </w:rPr>
        <w:t xml:space="preserve">절대 기준이라 상대 비교를 못 합니다. </w:t>
      </w:r>
      <w:r>
        <w:rPr>
          <w:rFonts w:ascii="Malgun Gothic" w:cs="Malgun Gothic" w:eastAsia="Malgun Gothic" w:hAnsi="Malgun Gothic"/>
          <w:sz w:val="20"/>
          <w:szCs w:val="20"/>
        </w:rPr>
        <w:t xml:space="preserve">포지션 규모나 기회비용은 이 프레임워크 밖의 문제입니다. 함축수익률 열을 넣은 것이 부분적인 보완입니다.</w:t>
      </w:r>
    </w:p>
    <w:p>
      <w:pPr>
        <w:pageBreakBefore/>
      </w:pPr>
    </w:p>
    <w:p>
      <w:pPr>
        <w:pStyle w:val="Heading1"/>
        <w:spacing w:after="160" w:before="360"/>
      </w:pPr>
      <w:r>
        <w:rPr>
          <w:rFonts w:ascii="Malgun Gothic" w:cs="Malgun Gothic" w:eastAsia="Malgun Gothic" w:hAnsi="Malgun Gothic"/>
          <w:b/>
          <w:bCs/>
          <w:color w:val="1F3864"/>
          <w:sz w:val="28"/>
          <w:szCs w:val="28"/>
        </w:rPr>
        <w:t xml:space="preserve">8. 한계와 데이터 처리 원칙</w:t>
      </w:r>
    </w:p>
    <w:p>
      <w:pPr>
        <w:spacing w:after="120" w:line="276"/>
      </w:pPr>
      <w:r>
        <w:rPr>
          <w:rFonts w:ascii="Malgun Gothic" w:cs="Malgun Gothic" w:eastAsia="Malgun Gothic" w:hAnsi="Malgun Gothic"/>
          <w:sz w:val="20"/>
          <w:szCs w:val="20"/>
        </w:rPr>
        <w:t xml:space="preserve">보고서에 실린 수치가 어떤 판단을 거쳤는지 밝혀둡니다. 수치를 그대로 쓰기 어려웠던 지점마다 추정으로 메우지 않고 표시하는 쪽을 택했습니다.</w:t>
      </w:r>
    </w:p>
    <w:p>
      <w:pPr>
        <w:spacing w:after="120" w:line="276"/>
      </w:pPr>
      <w:r>
        <w:rPr>
          <w:rFonts w:ascii="Malgun Gothic" w:cs="Malgun Gothic" w:eastAsia="Malgun Gothic" w:hAnsi="Malgun Gothic"/>
          <w:b/>
          <w:bCs/>
          <w:sz w:val="20"/>
          <w:szCs w:val="20"/>
        </w:rPr>
        <w:t xml:space="preserve">EBIT을 일관되게 재구성했습니다. </w:t>
      </w:r>
      <w:r>
        <w:rPr>
          <w:rFonts w:ascii="Malgun Gothic" w:cs="Malgun Gothic" w:eastAsia="Malgun Gothic" w:hAnsi="Malgun Gothic"/>
          <w:sz w:val="20"/>
          <w:szCs w:val="20"/>
        </w:rPr>
        <w:t xml:space="preserve">릴리·엑슨모빌·IBM·머크·셰브론은 영업이익 소계를 아예 태깅하지 않습니다. 태그가 있는 회사는 보고된 영업이익을, 없는 회사는 다른 것을 쓰면 ROIC가 회사마다 다른 것을 뜻하게 됩니다. 그래서 전 종목에서 세전이익 + 이자비용으로 통일하고, 이자비용이 없는 3개사만 보고된 영업이익으로 대체했습니다.</w:t>
      </w:r>
    </w:p>
    <w:p>
      <w:pPr>
        <w:spacing w:after="120" w:line="276"/>
      </w:pPr>
      <w:r>
        <w:rPr>
          <w:rFonts w:ascii="Malgun Gothic" w:cs="Malgun Gothic" w:eastAsia="Malgun Gothic" w:hAnsi="Malgun Gothic"/>
          <w:b/>
          <w:bCs/>
          <w:sz w:val="20"/>
          <w:szCs w:val="20"/>
        </w:rPr>
        <w:t xml:space="preserve">분모는 기초·기말 평균입니다. </w:t>
      </w:r>
      <w:r>
        <w:rPr>
          <w:rFonts w:ascii="Malgun Gothic" w:cs="Malgun Gothic" w:eastAsia="Malgun Gothic" w:hAnsi="Malgun Gothic"/>
          <w:sz w:val="20"/>
          <w:szCs w:val="20"/>
        </w:rPr>
        <w:t xml:space="preserve">기말 잔고를 쓰면 연말에 자본을 조달한 회사가 한 해 내내 그 자본으로 벌어들인 것처럼 보입니다.</w:t>
      </w:r>
    </w:p>
    <w:p>
      <w:pPr>
        <w:spacing w:after="120" w:line="276"/>
      </w:pPr>
      <w:r>
        <w:rPr>
          <w:rFonts w:ascii="Malgun Gothic" w:cs="Malgun Gothic" w:eastAsia="Malgun Gothic" w:hAnsi="Malgun Gothic"/>
          <w:b/>
          <w:bCs/>
          <w:sz w:val="20"/>
          <w:szCs w:val="20"/>
        </w:rPr>
        <w:t xml:space="preserve">필립모리스는 자기자본이 마이너스입니다. </w:t>
      </w:r>
      <w:r>
        <w:rPr>
          <w:rFonts w:ascii="Malgun Gothic" w:cs="Malgun Gothic" w:eastAsia="Malgun Gothic" w:hAnsi="Malgun Gothic"/>
          <w:sz w:val="20"/>
          <w:szCs w:val="20"/>
        </w:rPr>
        <w:t xml:space="preserve">장기간의 자사주 매입 결과이고, 투하자본이 음수가 되는 해에는 비율 자체가 의미를 잃으므로 그런 연도는 산출하지 않고 표시만 했습니다.</w:t>
      </w:r>
    </w:p>
    <w:p>
      <w:pPr>
        <w:spacing w:after="120" w:line="276"/>
      </w:pPr>
      <w:r>
        <w:rPr>
          <w:rFonts w:ascii="Malgun Gothic" w:cs="Malgun Gothic" w:eastAsia="Malgun Gothic" w:hAnsi="Malgun Gothic"/>
          <w:b/>
          <w:bCs/>
          <w:sz w:val="20"/>
          <w:szCs w:val="20"/>
        </w:rPr>
        <w:t xml:space="preserve">베타의 설명력이 낮은 종목이 있습니다. </w:t>
      </w:r>
      <w:r>
        <w:rPr>
          <w:rFonts w:ascii="Malgun Gothic" w:cs="Malgun Gothic" w:eastAsia="Malgun Gothic" w:hAnsi="Malgun Gothic"/>
          <w:sz w:val="20"/>
          <w:szCs w:val="20"/>
        </w:rPr>
        <w:t xml:space="preserve">5년 월간 수익률을 S&amp;P 500에 회귀해 직접 추정했는데 엑슨모빌·머크·존슨앤드존슨 등 방어주는 결정계수가 0.05 미만입니다. 이 경우 CAPM 자기자본비용이 약하게만 식별되고 그 위에 세운 WACC도 무릅니다. 다만 DCF는 WACC가 아니라 8·10·12% 고정 할인율 3종을 쓰므로 이 약점의 영향을 받지 않습니다.</w:t>
      </w:r>
    </w:p>
    <w:p>
      <w:pPr>
        <w:spacing w:after="120" w:line="276"/>
      </w:pPr>
      <w:r>
        <w:rPr>
          <w:rFonts w:ascii="Malgun Gothic" w:cs="Malgun Gothic" w:eastAsia="Malgun Gothic" w:hAnsi="Malgun Gothic"/>
          <w:b/>
          <w:bCs/>
          <w:sz w:val="20"/>
          <w:szCs w:val="20"/>
        </w:rPr>
        <w:t xml:space="preserve">비자의 시가총액은 과소평가돼 있습니다. </w:t>
      </w:r>
      <w:r>
        <w:rPr>
          <w:rFonts w:ascii="Malgun Gothic" w:cs="Malgun Gothic" w:eastAsia="Malgun Gothic" w:hAnsi="Malgun Gothic"/>
          <w:sz w:val="20"/>
          <w:szCs w:val="20"/>
        </w:rPr>
        <w:t xml:space="preserve">클래스 B-1·B-2·C의 전환비율은 이사회가 소송 에스크로 정산에 따라 주기적으로 재설정하므로 표지에서 도출할 수 없습니다. 클래스 A만으로 계산했습니다. 실제 전환 후 기준 시가총액은 이보다 크므로 비자의 안전마진은 표에 적힌 것보다 나쁩니다.</w:t>
      </w:r>
    </w:p>
    <w:p>
      <w:pPr>
        <w:spacing w:after="120" w:line="276"/>
      </w:pPr>
      <w:r>
        <w:rPr>
          <w:rFonts w:ascii="Malgun Gothic" w:cs="Malgun Gothic" w:eastAsia="Malgun Gothic" w:hAnsi="Malgun Gothic"/>
          <w:b/>
          <w:bCs/>
          <w:sz w:val="20"/>
          <w:szCs w:val="20"/>
        </w:rPr>
        <w:t xml:space="preserve">주주이익은 마진 기준으로 정규화했습니다. </w:t>
      </w:r>
      <w:r>
        <w:rPr>
          <w:rFonts w:ascii="Malgun Gothic" w:cs="Malgun Gothic" w:eastAsia="Malgun Gothic" w:hAnsi="Malgun Gothic"/>
          <w:sz w:val="20"/>
          <w:szCs w:val="20"/>
        </w:rPr>
        <w:t xml:space="preserve">주주이익은 운전자본 타이밍 때문에 해마다 크게 출렁입니다. 코카콜라는 한 해에 166억 달러에서 21억 달러로 움직였습니다. 최근 5년 주주이익 마진의 중앙값을 최근 매출에 적용했습니다. 금액의 중앙값을 쓰면 성장 기업을 몇 년 전 규모로 평가하게 되어 보수적인 것이 아니라 낡은 값이 됩니다.</w:t>
      </w:r>
    </w:p>
    <w:p>
      <w:pPr>
        <w:spacing w:after="120" w:line="276"/>
      </w:pPr>
      <w:r>
        <w:rPr>
          <w:rFonts w:ascii="Malgun Gothic" w:cs="Malgun Gothic" w:eastAsia="Malgun Gothic" w:hAnsi="Malgun Gothic"/>
          <w:b/>
          <w:bCs/>
          <w:sz w:val="20"/>
          <w:szCs w:val="20"/>
        </w:rPr>
        <w:t xml:space="preserve">DCF는 점 추정이 아닙니다. </w:t>
      </w:r>
      <w:r>
        <w:rPr>
          <w:rFonts w:ascii="Malgun Gothic" w:cs="Malgun Gothic" w:eastAsia="Malgun Gothic" w:hAnsi="Malgun Gothic"/>
          <w:sz w:val="20"/>
          <w:szCs w:val="20"/>
        </w:rPr>
        <w:t xml:space="preserve">보수·기준·낙관 3개 시나리오의 범위로만 읽어야 하며, 이 보고서는 '투자 가능 구간 안인가'라는 질문에만 답합니다. 목표주가가 아닙니다.</w:t>
      </w:r>
    </w:p>
    <w:p>
      <w:pPr>
        <w:spacing w:after="120" w:line="276"/>
      </w:pPr>
      <w:r>
        <w:rPr>
          <w:rFonts w:ascii="Malgun Gothic" w:cs="Malgun Gothic" w:eastAsia="Malgun Gothic" w:hAnsi="Malgun Gothic"/>
          <w:b/>
          <w:bCs/>
          <w:sz w:val="20"/>
          <w:szCs w:val="20"/>
        </w:rPr>
        <w:t xml:space="preserve">검증되지 않은 수치는 없습니다. </w:t>
      </w:r>
      <w:r>
        <w:rPr>
          <w:rFonts w:ascii="Malgun Gothic" w:cs="Malgun Gothic" w:eastAsia="Malgun Gothic" w:hAnsi="Malgun Gothic"/>
          <w:sz w:val="20"/>
          <w:szCs w:val="20"/>
        </w:rPr>
        <w:t xml:space="preserve">50개사 전부에 대해 각 항목을 해당 10-K 원문의 인라인 XBRL과 대조하고, 인용한 접수번호가 EDGAR에 실재하는지 확인하고, 주식수를 재파싱으로 재현하고, 주가를 재조회했습니다. 통과하지 못한 수치는 보고서에 넣지 않는다는 규칙이었으나 최종 실행에서 실패 항목은 없었습니다.</w:t>
      </w:r>
    </w:p>
    <w:p>
      <w:pPr>
        <w:spacing w:after="100" w:before="280"/>
      </w:pPr>
      <w:r>
        <w:rPr>
          <w:rFonts w:ascii="Malgun Gothic" w:cs="Malgun Gothic" w:eastAsia="Malgun Gothic" w:hAnsi="Malgun Gothic"/>
          <w:b/>
          <w:bCs/>
          <w:sz w:val="20"/>
          <w:szCs w:val="20"/>
        </w:rPr>
        <w:t xml:space="preserve">재현 방법</w:t>
      </w:r>
    </w:p>
    <w:p>
      <w:pPr>
        <w:shd w:fill="F2F4F8" w:color="auto" w:val="clear"/>
        <w:spacing w:after="0" w:line="240"/>
      </w:pPr>
      <w:r>
        <w:rPr>
          <w:rFonts w:ascii="Consolas" w:cs="Consolas" w:eastAsia="Consolas" w:hAnsi="Consolas"/>
          <w:sz w:val="17"/>
          <w:szCs w:val="17"/>
        </w:rPr>
        <w:t xml:space="preserve">python3 work/build_universe.py           # 유니버스 확정</w:t>
      </w:r>
    </w:p>
    <w:p>
      <w:pPr>
        <w:shd w:fill="F2F4F8" w:color="auto" w:val="clear"/>
        <w:spacing w:after="0" w:line="240"/>
      </w:pPr>
      <w:r>
        <w:rPr>
          <w:rFonts w:ascii="Consolas" w:cs="Consolas" w:eastAsia="Consolas" w:hAnsi="Consolas"/>
          <w:sz w:val="17"/>
          <w:szCs w:val="17"/>
        </w:rPr>
        <w:t xml:space="preserve">python3 work/collect_sec.py --universe work/universe.json</w:t>
      </w:r>
    </w:p>
    <w:p>
      <w:pPr>
        <w:shd w:fill="F2F4F8" w:color="auto" w:val="clear"/>
        <w:spacing w:after="0" w:line="240"/>
      </w:pPr>
      <w:r>
        <w:rPr>
          <w:rFonts w:ascii="Consolas" w:cs="Consolas" w:eastAsia="Consolas" w:hAnsi="Consolas"/>
          <w:sz w:val="17"/>
          <w:szCs w:val="17"/>
        </w:rPr>
        <w:t xml:space="preserve">python3 work/collect_cover_shares.py     # 표지 주식수</w:t>
      </w:r>
    </w:p>
    <w:p>
      <w:pPr>
        <w:shd w:fill="F2F4F8" w:color="auto" w:val="clear"/>
        <w:spacing w:after="0" w:line="240"/>
      </w:pPr>
      <w:r>
        <w:rPr>
          <w:rFonts w:ascii="Consolas" w:cs="Consolas" w:eastAsia="Consolas" w:hAnsi="Consolas"/>
          <w:sz w:val="17"/>
          <w:szCs w:val="17"/>
        </w:rPr>
        <w:t xml:space="preserve">python3 work/collect_market.py           # 주가·베타·무위험수익률·ERP</w:t>
      </w:r>
    </w:p>
    <w:p>
      <w:pPr>
        <w:shd w:fill="F2F4F8" w:color="auto" w:val="clear"/>
        <w:spacing w:after="0" w:line="240"/>
      </w:pPr>
      <w:r>
        <w:rPr>
          <w:rFonts w:ascii="Consolas" w:cs="Consolas" w:eastAsia="Consolas" w:hAnsi="Consolas"/>
          <w:sz w:val="17"/>
          <w:szCs w:val="17"/>
        </w:rPr>
        <w:t xml:space="preserve">python3 work/analyse.py                  # PHASE 2-5</w:t>
      </w:r>
    </w:p>
    <w:p>
      <w:pPr>
        <w:shd w:fill="F2F4F8" w:color="auto" w:val="clear"/>
        <w:spacing w:after="0" w:line="240"/>
      </w:pPr>
      <w:r>
        <w:rPr>
          <w:rFonts w:ascii="Consolas" w:cs="Consolas" w:eastAsia="Consolas" w:hAnsi="Consolas"/>
          <w:sz w:val="17"/>
          <w:szCs w:val="17"/>
        </w:rPr>
        <w:t xml:space="preserve">python3 work/verify.py                   # PHASE 6</w:t>
      </w:r>
    </w:p>
    <w:p>
      <w:pPr>
        <w:shd w:fill="F2F4F8" w:color="auto" w:val="clear"/>
        <w:spacing w:after="0" w:line="240"/>
      </w:pPr>
      <w:r>
        <w:rPr>
          <w:rFonts w:ascii="Consolas" w:cs="Consolas" w:eastAsia="Consolas" w:hAnsi="Consolas"/>
          <w:sz w:val="17"/>
          <w:szCs w:val="17"/>
        </w:rPr>
        <w:t xml:space="preserve">python3 work/report.py                   # PHASE 7</w:t>
      </w:r>
    </w:p>
    <w:sectPr>
      <w:pgSz w:w="15840" w:h="12240" w:orient="landscape"/>
      <w:pgMar w:top="863" w:right="720" w:bottom="863"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2026-08-11T08:22:46.582Z</dcterms:created>
  <dcterms:modified xsi:type="dcterms:W3CDTF">2026-08-11T08:22:46.583Z</dcterms:modified>
</cp:coreProperties>
</file>

<file path=docProps/custom.xml><?xml version="1.0" encoding="utf-8"?>
<Properties xmlns="http://schemas.openxmlformats.org/officeDocument/2006/custom-properties" xmlns:vt="http://schemas.openxmlformats.org/officeDocument/2006/docPropsVTypes"/>
</file>