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F3864"/>
          <w:sz w:val="36"/>
          <w:szCs w:val="36"/>
        </w:rPr>
        <w:t xml:space="preserve">미국 50개사 ROIC vs WACC 10% 재조사</w:t>
      </w:r>
    </w:p>
    <w:p>
      <w:pPr>
        <w:pBdr>
          <w:bottom w:val="single" w:color="1F3864" w:sz="8" w:space="8"/>
        </w:pBdr>
        <w:spacing w:after="320"/>
      </w:pPr>
      <w:r>
        <w:rPr>
          <w:rFonts w:ascii="Malgun Gothic" w:cs="Malgun Gothic" w:eastAsia="Malgun Gothic" w:hAnsi="Malgun Gothic"/>
          <w:color w:val="595959"/>
          <w:sz w:val="18"/>
          <w:szCs w:val="18"/>
        </w:rPr>
        <w:t xml:space="preserve">메모 5건 회신 · 버핏 기준 정립 · 알파벳 가치와 주가 평가 · 생성 undefined</w:t>
      </w:r>
    </w:p>
    <w:p>
      <w:pPr>
        <w:pStyle w:val="Heading1"/>
        <w:spacing w:after="160" w:before="400"/>
      </w:pPr>
      <w:r>
        <w:rPr>
          <w:rFonts w:ascii="Malgun Gothic" w:cs="Malgun Gothic" w:eastAsia="Malgun Gothic" w:hAnsi="Malgun Gothic"/>
          <w:b/>
          <w:bCs/>
          <w:color w:val="1F3864"/>
          <w:sz w:val="28"/>
          <w:szCs w:val="28"/>
        </w:rPr>
        <w:t xml:space="preserve">미국 50개사 ROIC vs 자본비용 10% — 재조사</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자료 SEC XBRL companyfacts API · 대상 FY2016~FY2025 · WACC 10% 고정 · 산출 engine work/analyse_roic.py · 검증 9,867건 통과, 변이 10/10 탐지 · 작성 2026-10-29</w:t>
      </w:r>
    </w:p>
    <w:p>
      <w:pPr>
        <w:pStyle w:val="Heading2"/>
        <w:spacing w:after="120" w:before="300"/>
      </w:pPr>
      <w:r>
        <w:rPr>
          <w:rFonts w:ascii="Malgun Gothic" w:cs="Malgun Gothic" w:eastAsia="Malgun Gothic" w:hAnsi="Malgun Gothic"/>
          <w:b/>
          <w:bCs/>
          <w:color w:val="1F3864"/>
          <w:sz w:val="23"/>
          <w:szCs w:val="23"/>
        </w:rPr>
        <w:t xml:space="preserve">요약</w:t>
      </w:r>
    </w:p>
    <w:p>
      <w:pPr>
        <w:spacing w:after="140" w:line="288"/>
      </w:pPr>
      <w:r>
        <w:rPr>
          <w:rFonts w:ascii="Malgun Gothic" w:cs="Malgun Gothic" w:eastAsia="Malgun Gothic" w:hAnsi="Malgun Gothic"/>
          <w:b/>
          <w:bCs/>
          <w:sz w:val="19"/>
          <w:szCs w:val="19"/>
        </w:rPr>
        <w:t xml:space="preserve">비금융 39개사의 388개 기업-연도 가운데 312개 연도(80%)가 ROIC 10%를 넘겼습니다.</w:t>
      </w:r>
      <w:r>
        <w:rPr>
          <w:rFonts w:ascii="Malgun Gothic" w:cs="Malgun Gothic" w:eastAsia="Malgun Gothic" w:hAnsi="Malgun Gothic"/>
          <w:sz w:val="19"/>
          <w:szCs w:val="19"/>
        </w:rPr>
        <w:t xml:space="preserve"> 중위 ROIC의 중앙값은 20.1%로, 문턱의 두 배를 웃돕니다. 10년 내내 한 해도 빠짐없이 10%를 넘긴 기업은 20곳이고, 한 해라도 미달한 기업이 19곳입니다. 전 기간 미달한 기업은 없습니다.</w:t>
      </w:r>
    </w:p>
    <w:p>
      <w:pPr>
        <w:spacing w:after="140" w:line="288"/>
      </w:pPr>
      <w:r>
        <w:rPr>
          <w:rFonts w:ascii="Malgun Gothic" w:cs="Malgun Gothic" w:eastAsia="Malgun Gothic" w:hAnsi="Malgun Gothic"/>
          <w:sz w:val="19"/>
          <w:szCs w:val="19"/>
        </w:rPr>
        <w:t xml:space="preserve">다만 이번 작업의 더 중요한 결과는 순위표가 아니라 </w:t>
      </w:r>
      <w:r>
        <w:rPr>
          <w:rFonts w:ascii="Malgun Gothic" w:cs="Malgun Gothic" w:eastAsia="Malgun Gothic" w:hAnsi="Malgun Gothic"/>
          <w:b/>
          <w:bCs/>
          <w:sz w:val="19"/>
          <w:szCs w:val="19"/>
        </w:rPr>
        <w:t xml:space="preserve">1차 조사의 오류 319건을 찾아 바로잡은 것</w:t>
      </w:r>
      <w:r>
        <w:rPr>
          <w:rFonts w:ascii="Malgun Gothic" w:cs="Malgun Gothic" w:eastAsia="Malgun Gothic" w:hAnsi="Malgun Gothic"/>
          <w:sz w:val="19"/>
          <w:szCs w:val="19"/>
        </w:rPr>
        <w:t xml:space="preserve">입니다. 가장 큰 원인은 1차 조사가 공시된 장기차입금을 27개 기업-연도에서 누락한 것으로, 오라클(ORCL) 10년, 코카콜라(KO) 7년, 브로드컴(AVGO) 4년, 비자(V) 3년이 여기에 걸립니다. 오라클 FY2024 ROIC가 761%로 나왔던 이유입니다.</w:t>
      </w:r>
    </w:p>
    <w:p>
      <w:pPr>
        <w:spacing w:after="140" w:line="288"/>
      </w:pPr>
      <w:r>
        <w:rPr>
          <w:rFonts w:ascii="Malgun Gothic" w:cs="Malgun Gothic" w:eastAsia="Malgun Gothic" w:hAnsi="Malgun Gothic"/>
          <w:sz w:val="19"/>
          <w:szCs w:val="19"/>
        </w:rPr>
        <w:t xml:space="preserve">그리고 이 오류는 ROIC에서 멈추지 않았습니다. 1차 조사는 </w:t>
      </w:r>
      <w:r>
        <w:rPr>
          <w:rFonts w:ascii="Malgun Gothic" w:cs="Malgun Gothic" w:eastAsia="Malgun Gothic" w:hAnsi="Malgun Gothic"/>
          <w:b/>
          <w:bCs/>
          <w:sz w:val="19"/>
          <w:szCs w:val="19"/>
        </w:rPr>
        <w:t xml:space="preserve">오라클을 순현금 24.7십억 달러 기업으로 보고 있었는데, 실제로는 순차입금 81.4십억 달러</w:t>
      </w:r>
      <w:r>
        <w:rPr>
          <w:rFonts w:ascii="Malgun Gothic" w:cs="Malgun Gothic" w:eastAsia="Malgun Gothic" w:hAnsi="Malgun Gothic"/>
          <w:sz w:val="19"/>
          <w:szCs w:val="19"/>
        </w:rPr>
        <w:t xml:space="preserve">입니다. 차이가 106.1십억 달러, 시가총액의 24%에 해당합니다. DCF 재계산은 이번 범위가 아니므로 표시만 해두었습니다.</w:t>
      </w:r>
    </w:p>
    <w:p>
      <w:pPr>
        <w:pStyle w:val="Heading2"/>
        <w:spacing w:after="120" w:before="300"/>
      </w:pPr>
      <w:r>
        <w:rPr>
          <w:rFonts w:ascii="Malgun Gothic" w:cs="Malgun Gothic" w:eastAsia="Malgun Gothic" w:hAnsi="Malgun Gothic"/>
          <w:b/>
          <w:bCs/>
          <w:color w:val="1F3864"/>
          <w:sz w:val="23"/>
          <w:szCs w:val="23"/>
        </w:rPr>
        <w:t xml:space="preserve">1. 기업 목록</w:t>
      </w:r>
    </w:p>
    <w:p>
      <w:pPr>
        <w:spacing w:after="140" w:line="288"/>
      </w:pPr>
      <w:r>
        <w:rPr>
          <w:rFonts w:ascii="Malgun Gothic" w:cs="Malgun Gothic" w:eastAsia="Malgun Gothic" w:hAnsi="Malgun Gothic"/>
          <w:sz w:val="19"/>
          <w:szCs w:val="19"/>
        </w:rPr>
        <w:t xml:space="preserve">이후 표에서는 자리 폭 때문에 한글명과 티커만 적습니다. 영문 정식 명칭과 참고사항은 이 표에서 확인하실 수 있습니다. SEC가 돌려주는 이름은 등록명(예: COSTCO WHOLESALE CORP /NEW, APPLIED MATERIALS INC /DE)이라 그대로 쓰지 않았고, 엑셀의 '계산 명세' 시트에는 추적을 위해 등록명을 그대로 남겨두었습니다.</w:t>
      </w:r>
    </w:p>
    <w:p>
      <w:pPr>
        <w:pStyle w:val="Heading3"/>
        <w:spacing w:after="100" w:before="240"/>
      </w:pPr>
      <w:r>
        <w:rPr>
          <w:rFonts w:ascii="Malgun Gothic" w:cs="Malgun Gothic" w:eastAsia="Malgun Gothic" w:hAnsi="Malgun Gothic"/>
          <w:b/>
          <w:bCs/>
          <w:color w:val="8B3A2F"/>
          <w:sz w:val="20"/>
          <w:szCs w:val="20"/>
        </w:rPr>
        <w:t xml:space="preserve">ROIC 순위 대상 (비금융, 산출 5년 이상) — 39곳</w:t>
      </w:r>
    </w:p>
    <w:tbl>
      <w:tblPr>
        <w:tblW w:type="dxa" w:w="9360"/>
        <w:tblBorders>
          <w:top w:val="single" w:color="BFBFBF" w:sz="2"/>
          <w:left w:val="none"/>
          <w:bottom w:val="single" w:color="BFBFBF" w:sz="2"/>
          <w:right w:val="none"/>
          <w:insideH w:val="single" w:color="D9D9D9" w:sz="1"/>
          <w:insideV w:val="none"/>
        </w:tblBorders>
      </w:tblPr>
      <w:tblGrid>
        <w:gridCol w:w="842"/>
        <w:gridCol w:w="1966"/>
        <w:gridCol w:w="3370"/>
        <w:gridCol w:w="3182"/>
      </w:tblGrid>
      <w:tr>
        <w:trPr>
          <w:tblHeader/>
        </w:trPr>
        <w:tc>
          <w:tcPr>
            <w:tcW w:type="dxa" w:w="84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티커</w:t>
            </w:r>
          </w:p>
        </w:tc>
        <w:tc>
          <w:tcPr>
            <w:tcW w:type="dxa" w:w="196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한글명</w:t>
            </w:r>
          </w:p>
        </w:tc>
        <w:tc>
          <w:tcPr>
            <w:tcW w:type="dxa" w:w="337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영문 정식 명칭</w:t>
            </w:r>
          </w:p>
        </w:tc>
        <w:tc>
          <w:tcPr>
            <w:tcW w:type="dxa" w:w="318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비고</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ANET</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아리스타 네트웍스</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Arista Networks</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NVDA</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엔비디아</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NVIDIA</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1월 결산 — 본문의 회계연도 표기 참고</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MA</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마스터카드</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Mastercard</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AAPL</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애플</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Apple</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MSFT</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마이크로소프트</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Microsoft</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LRCX</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램리서치</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Lam Research</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PM</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필립모리스 인터내셔널</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Philip Morris International</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KLAC</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KLA</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KLA</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2019년까지 사명은 KLA-Tencor</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TXN</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텍사스 인스트루먼츠</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Texas Instruments</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META</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메타 플랫폼스</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Meta Platforms</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2021년까지 사명은 Facebook</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HD</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홈디포</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Home Depot</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AMAT</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어플라이드 머티리얼즈</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Applied Materials</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GOOG</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알파벳</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Alphabet</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구글의 모회사</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COST</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코스트코</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Costco Wholesale</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CSCO</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시스코 시스템즈</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Cisco Systems</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V</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비자</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Visa</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9월 결산</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AMZN</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아마존</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Amazon.com</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LLY</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일라이 릴리</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Eli Lilly</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JNJ</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존슨앤드존슨</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Johnson &amp; Johnson</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PG</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프록터앤드갬블</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Procter &amp; Gamble</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P&amp;G · 6월 결산</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ABBV</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애브비</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AbbVie</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2013년 애보트에서 분사</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NFLX</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넷플릭스</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Netflix</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ORCL</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오라클</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Oracle</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5월 결산</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MU</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마이크론 테크놀로지</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Micron Technology</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CAT</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캐터필러</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Caterpillar</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DELL</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델 테크놀로지스</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Dell Technologies</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2018년 재상장</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KO</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코카콜라</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Coca-Cola</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WMT</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월마트</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Walmart</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1월 결산</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INTC</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인텔</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Intel</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MRK</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머크</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Merck &amp; Co.</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IBM</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IBM</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International Business Machines</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AVGO</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브로드컴</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Broadcom</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AMD</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AMD</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Advanced Micro Devices</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TSLA</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테슬라</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Tesla</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XOM</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엑슨모빌</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Exxon Mobil</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CVX</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셰브론</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Chevron</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RTX</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RTX</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RTX</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2023년까지 사명은 Raytheon Technologies. 2020년 레이시온·유나이티드테크놀로지스 합병</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GE</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제너럴 일렉트릭</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General Electric / GE Aerospace</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2024년 GE 에어로스페이스로 사명 변경. FY2023까지는 복합기업 기준이므로 현재의 항공엔진 단일 사업과 직접 비교 불가</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PANW</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팔로알토 네트웍스</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Palo Alto Networks</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7월 결산</w:t>
            </w:r>
          </w:p>
        </w:tc>
      </w:tr>
    </w:tbl>
    <w:p>
      <w:pPr>
        <w:spacing w:after="200"/>
      </w:pPr>
    </w:p>
    <w:p>
      <w:pPr>
        <w:pStyle w:val="Heading3"/>
        <w:spacing w:after="100" w:before="240"/>
      </w:pPr>
      <w:r>
        <w:rPr>
          <w:rFonts w:ascii="Malgun Gothic" w:cs="Malgun Gothic" w:eastAsia="Malgun Gothic" w:hAnsi="Malgun Gothic"/>
          <w:b/>
          <w:bCs/>
          <w:color w:val="8B3A2F"/>
          <w:sz w:val="20"/>
          <w:szCs w:val="20"/>
        </w:rPr>
        <w:t xml:space="preserve">표본 부족 (산출 5년 미만) — 2곳</w:t>
      </w:r>
    </w:p>
    <w:tbl>
      <w:tblPr>
        <w:tblW w:type="dxa" w:w="9360"/>
        <w:tblBorders>
          <w:top w:val="single" w:color="BFBFBF" w:sz="2"/>
          <w:left w:val="none"/>
          <w:bottom w:val="single" w:color="BFBFBF" w:sz="2"/>
          <w:right w:val="none"/>
          <w:insideH w:val="single" w:color="D9D9D9" w:sz="1"/>
          <w:insideV w:val="none"/>
        </w:tblBorders>
      </w:tblPr>
      <w:tblGrid>
        <w:gridCol w:w="842"/>
        <w:gridCol w:w="1966"/>
        <w:gridCol w:w="3370"/>
        <w:gridCol w:w="3182"/>
      </w:tblGrid>
      <w:tr>
        <w:trPr>
          <w:tblHeader/>
        </w:trPr>
        <w:tc>
          <w:tcPr>
            <w:tcW w:type="dxa" w:w="84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티커</w:t>
            </w:r>
          </w:p>
        </w:tc>
        <w:tc>
          <w:tcPr>
            <w:tcW w:type="dxa" w:w="196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한글명</w:t>
            </w:r>
          </w:p>
        </w:tc>
        <w:tc>
          <w:tcPr>
            <w:tcW w:type="dxa" w:w="337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영문 정식 명칭</w:t>
            </w:r>
          </w:p>
        </w:tc>
        <w:tc>
          <w:tcPr>
            <w:tcW w:type="dxa" w:w="318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비고</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PLTR</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팔란티어 테크놀로지스</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Palantir Technologies</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2020년 상장</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GEV</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GE 버노바</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GE Vernova</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2024년 4월 GE에서 분사 — 그래서 산출 연도가 4년</w:t>
            </w:r>
          </w:p>
        </w:tc>
      </w:tr>
    </w:tbl>
    <w:p>
      <w:pPr>
        <w:spacing w:after="200"/>
      </w:pPr>
    </w:p>
    <w:p>
      <w:pPr>
        <w:pStyle w:val="Heading3"/>
        <w:spacing w:after="100" w:before="240"/>
      </w:pPr>
      <w:r>
        <w:rPr>
          <w:rFonts w:ascii="Malgun Gothic" w:cs="Malgun Gothic" w:eastAsia="Malgun Gothic" w:hAnsi="Malgun Gothic"/>
          <w:b/>
          <w:bCs/>
          <w:color w:val="8B3A2F"/>
          <w:sz w:val="20"/>
          <w:szCs w:val="20"/>
        </w:rPr>
        <w:t xml:space="preserve">금융업 — ROIC 미산출 — 9곳</w:t>
      </w:r>
    </w:p>
    <w:tbl>
      <w:tblPr>
        <w:tblW w:type="dxa" w:w="9360"/>
        <w:tblBorders>
          <w:top w:val="single" w:color="BFBFBF" w:sz="2"/>
          <w:left w:val="none"/>
          <w:bottom w:val="single" w:color="BFBFBF" w:sz="2"/>
          <w:right w:val="none"/>
          <w:insideH w:val="single" w:color="D9D9D9" w:sz="1"/>
          <w:insideV w:val="none"/>
        </w:tblBorders>
      </w:tblPr>
      <w:tblGrid>
        <w:gridCol w:w="842"/>
        <w:gridCol w:w="1966"/>
        <w:gridCol w:w="3370"/>
        <w:gridCol w:w="3182"/>
      </w:tblGrid>
      <w:tr>
        <w:trPr>
          <w:tblHeader/>
        </w:trPr>
        <w:tc>
          <w:tcPr>
            <w:tcW w:type="dxa" w:w="84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티커</w:t>
            </w:r>
          </w:p>
        </w:tc>
        <w:tc>
          <w:tcPr>
            <w:tcW w:type="dxa" w:w="196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한글명</w:t>
            </w:r>
          </w:p>
        </w:tc>
        <w:tc>
          <w:tcPr>
            <w:tcW w:type="dxa" w:w="337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영문 정식 명칭</w:t>
            </w:r>
          </w:p>
        </w:tc>
        <w:tc>
          <w:tcPr>
            <w:tcW w:type="dxa" w:w="318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비고</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BRK-B</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버크셔 해서웨이</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Berkshire Hathaway</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JPM</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JP모건 체이스</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JPMorgan Chase</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BAC</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뱅크오브아메리카</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Bank of America</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UNH</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유나이티드헬스 그룹</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UnitedHealth Group</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MS</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모건스탠리</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Morgan Stanley</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GS</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골드만삭스</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Goldman Sachs Group</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WFC</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웰스파고</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Wells Fargo</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AXP</w:t>
            </w:r>
          </w:p>
        </w:tc>
        <w:tc>
          <w:tcPr>
            <w:tcW w:type="dxa" w:w="19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아메리칸 익스프레스</w:t>
            </w:r>
          </w:p>
        </w:tc>
        <w:tc>
          <w:tcPr>
            <w:tcW w:type="dxa" w:w="33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American Express</w:t>
            </w:r>
          </w:p>
        </w:tc>
        <w:tc>
          <w:tcPr>
            <w:tcW w:type="dxa" w:w="318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r>
        <w:tc>
          <w:tcPr>
            <w:tcW w:type="dxa" w:w="8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w:t>
            </w:r>
          </w:p>
        </w:tc>
        <w:tc>
          <w:tcPr>
            <w:tcW w:type="dxa" w:w="19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씨티그룹</w:t>
            </w:r>
          </w:p>
        </w:tc>
        <w:tc>
          <w:tcPr>
            <w:tcW w:type="dxa" w:w="33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Citigroup</w:t>
            </w:r>
          </w:p>
        </w:tc>
        <w:tc>
          <w:tcPr>
            <w:tcW w:type="dxa" w:w="318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r>
    </w:tbl>
    <w:p>
      <w:pPr>
        <w:spacing w:after="200"/>
      </w:pPr>
    </w:p>
    <w:p>
      <w:pPr>
        <w:pStyle w:val="Heading2"/>
        <w:spacing w:after="120" w:before="300"/>
      </w:pPr>
      <w:r>
        <w:rPr>
          <w:rFonts w:ascii="Malgun Gothic" w:cs="Malgun Gothic" w:eastAsia="Malgun Gothic" w:hAnsi="Malgun Gothic"/>
          <w:b/>
          <w:bCs/>
          <w:color w:val="1F3864"/>
          <w:sz w:val="23"/>
          <w:szCs w:val="23"/>
        </w:rPr>
        <w:t xml:space="preserve">2. 왜 별도로 다시 조사했는지</w:t>
      </w:r>
    </w:p>
    <w:p>
      <w:pPr>
        <w:spacing w:after="140" w:line="288"/>
      </w:pPr>
      <w:r>
        <w:rPr>
          <w:rFonts w:ascii="Malgun Gothic" w:cs="Malgun Gothic" w:eastAsia="Malgun Gothic" w:hAnsi="Malgun Gothic"/>
          <w:sz w:val="19"/>
          <w:szCs w:val="19"/>
        </w:rPr>
        <w:t xml:space="preserve">ROIC가 WACC를 넘는지가 기업가치 성장의 핵심이라는 판단에 동의합니다. 그렇다면 ROIC 숫자 자체가 맞는지가 결론 전체를 좌우합니다. 그래서 1차 조사 결과를 보지 않은 상태에서, 정의만 같게 두고 경로를 완전히 바꿔 다시 산출했습니다.</w:t>
      </w:r>
    </w:p>
    <w:tbl>
      <w:tblPr>
        <w:tblW w:type="dxa" w:w="9360"/>
        <w:tblBorders>
          <w:top w:val="single" w:color="BFBFBF" w:sz="2"/>
          <w:left w:val="none"/>
          <w:bottom w:val="single" w:color="BFBFBF" w:sz="2"/>
          <w:right w:val="none"/>
          <w:insideH w:val="single" w:color="D9D9D9" w:sz="1"/>
          <w:insideV w:val="none"/>
        </w:tblBorders>
      </w:tblPr>
      <w:tblGrid>
        <w:gridCol w:w="2059"/>
        <w:gridCol w:w="5242"/>
        <w:gridCol w:w="2059"/>
      </w:tblGrid>
      <w:tr>
        <w:trPr>
          <w:tblHeader/>
        </w:trPr>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
            </w:r>
          </w:p>
        </w:tc>
        <w:tc>
          <w:tcPr>
            <w:tcW w:type="dxa" w:w="524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1차 조사</w:t>
            </w:r>
          </w:p>
        </w:tc>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이번 재조사</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자료 경로</w:t>
            </w:r>
          </w:p>
        </w:tc>
        <w:tc>
          <w:tcPr>
            <w:tcW w:type="dxa" w:w="52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공시 본문(10-K)을 파싱</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XBRL companyfacts API</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코드</w:t>
            </w:r>
          </w:p>
        </w:tc>
        <w:tc>
          <w:tcPr>
            <w:tcW w:type="dxa" w:w="52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work/analyse.py</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work/collect_roic.py + analyse_roic.py</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정의</w:t>
            </w:r>
          </w:p>
        </w:tc>
        <w:tc>
          <w:tcPr>
            <w:tcW w:type="dxa" w:w="52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자기자본+이자부차입금−현금</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동일</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분모 평균</w:t>
            </w:r>
          </w:p>
        </w:tc>
        <w:tc>
          <w:tcPr>
            <w:tcW w:type="dxa" w:w="52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기초·기말 평균</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동일 (부호 전환 해는 기말 단독)</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자기자본</w:t>
            </w:r>
          </w:p>
        </w:tc>
        <w:tc>
          <w:tcPr>
            <w:tcW w:type="dxa" w:w="52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지배주주 지분</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비지배지분 포함 (분자가 연결이므로)</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검증</w:t>
            </w:r>
          </w:p>
        </w:tc>
        <w:tc>
          <w:tcPr>
            <w:tcW w:type="dxa" w:w="52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없음</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항등식·트립와이어·앵커 9,867건 + 변이 10건</w:t>
            </w:r>
          </w:p>
        </w:tc>
      </w:tr>
    </w:tbl>
    <w:p>
      <w:pPr>
        <w:spacing w:after="200"/>
      </w:pPr>
    </w:p>
    <w:p>
      <w:pPr>
        <w:spacing w:after="140" w:line="288"/>
      </w:pPr>
      <w:r>
        <w:rPr>
          <w:rFonts w:ascii="Malgun Gothic" w:cs="Malgun Gothic" w:eastAsia="Malgun Gothic" w:hAnsi="Malgun Gothic"/>
          <w:sz w:val="19"/>
          <w:szCs w:val="19"/>
        </w:rPr>
        <w:t xml:space="preserve">정의가 같고 경로만 다르면, 두 결과가 어긋날 때 </w:t>
      </w:r>
      <w:r>
        <w:rPr>
          <w:rFonts w:ascii="Malgun Gothic" w:cs="Malgun Gothic" w:eastAsia="Malgun Gothic" w:hAnsi="Malgun Gothic"/>
          <w:b/>
          <w:bCs/>
          <w:sz w:val="19"/>
          <w:szCs w:val="19"/>
        </w:rPr>
        <w:t xml:space="preserve">어느 한쪽이 틀렸다</w:t>
      </w:r>
      <w:r>
        <w:rPr>
          <w:rFonts w:ascii="Malgun Gothic" w:cs="Malgun Gothic" w:eastAsia="Malgun Gothic" w:hAnsi="Malgun Gothic"/>
          <w:sz w:val="19"/>
          <w:szCs w:val="19"/>
        </w:rPr>
        <w:t xml:space="preserve">는 뜻이 됩니다. 그 점이 이번 조사의 목적이었습니다.</w:t>
      </w:r>
    </w:p>
    <w:p>
      <w:pPr>
        <w:pStyle w:val="Heading2"/>
        <w:spacing w:after="120" w:before="300"/>
      </w:pPr>
      <w:r>
        <w:rPr>
          <w:rFonts w:ascii="Malgun Gothic" w:cs="Malgun Gothic" w:eastAsia="Malgun Gothic" w:hAnsi="Malgun Gothic"/>
          <w:b/>
          <w:bCs/>
          <w:color w:val="1F3864"/>
          <w:sz w:val="23"/>
          <w:szCs w:val="23"/>
        </w:rPr>
        <w:t xml:space="preserve">3. 두 조사를 맞춰본 결과</w:t>
      </w:r>
    </w:p>
    <w:tbl>
      <w:tblPr>
        <w:tblW w:type="dxa" w:w="9360"/>
        <w:tblBorders>
          <w:top w:val="single" w:color="BFBFBF" w:sz="2"/>
          <w:left w:val="none"/>
          <w:bottom w:val="single" w:color="BFBFBF" w:sz="2"/>
          <w:right w:val="none"/>
          <w:insideH w:val="single" w:color="D9D9D9" w:sz="1"/>
          <w:insideV w:val="none"/>
        </w:tblBorders>
      </w:tblPr>
      <w:tblGrid>
        <w:gridCol w:w="2059"/>
        <w:gridCol w:w="5242"/>
        <w:gridCol w:w="2059"/>
      </w:tblGrid>
      <w:tr>
        <w:trPr>
          <w:tblHeader/>
        </w:trPr>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구분</w:t>
            </w:r>
          </w:p>
        </w:tc>
        <w:tc>
          <w:tcPr>
            <w:tcW w:type="dxa" w:w="524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건수</w:t>
            </w:r>
          </w:p>
        </w:tc>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비중</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대조 가능한 기업-연도</w:t>
            </w:r>
          </w:p>
        </w:tc>
        <w:tc>
          <w:tcPr>
            <w:tcW w:type="dxa" w:w="524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380</w:t>
            </w:r>
          </w:p>
        </w:tc>
        <w:tc>
          <w:tcPr>
            <w:tcW w:type="dxa" w:w="205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100%</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1%p 이내 일치</w:t>
            </w:r>
          </w:p>
        </w:tc>
        <w:tc>
          <w:tcPr>
            <w:tcW w:type="dxa" w:w="524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221</w:t>
            </w:r>
          </w:p>
        </w:tc>
        <w:tc>
          <w:tcPr>
            <w:tcW w:type="dxa" w:w="205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1%p 초과 불일치</w:t>
            </w:r>
          </w:p>
        </w:tc>
        <w:tc>
          <w:tcPr>
            <w:tcW w:type="dxa" w:w="524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159</w:t>
            </w:r>
          </w:p>
        </w:tc>
        <w:tc>
          <w:tcPr>
            <w:tcW w:type="dxa" w:w="205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5%p 초과 불일치</w:t>
            </w:r>
          </w:p>
        </w:tc>
        <w:tc>
          <w:tcPr>
            <w:tcW w:type="dxa" w:w="524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74</w:t>
            </w:r>
          </w:p>
        </w:tc>
        <w:tc>
          <w:tcPr>
            <w:tcW w:type="dxa" w:w="205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 문턱 판정까지 바뀜</w:t>
            </w:r>
          </w:p>
        </w:tc>
        <w:tc>
          <w:tcPr>
            <w:tcW w:type="dxa" w:w="524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w:t>
            </w:r>
          </w:p>
        </w:tc>
        <w:tc>
          <w:tcPr>
            <w:tcW w:type="dxa" w:w="205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재조사만 산출 (1차는 공백)</w:t>
            </w:r>
          </w:p>
        </w:tc>
        <w:tc>
          <w:tcPr>
            <w:tcW w:type="dxa" w:w="524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w:t>
            </w:r>
          </w:p>
        </w:tc>
        <w:tc>
          <w:tcPr>
            <w:tcW w:type="dxa" w:w="205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1차만 산출</w:t>
            </w:r>
          </w:p>
        </w:tc>
        <w:tc>
          <w:tcPr>
            <w:tcW w:type="dxa" w:w="524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w:t>
            </w:r>
          </w:p>
        </w:tc>
        <w:tc>
          <w:tcPr>
            <w:tcW w:type="dxa" w:w="205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r>
    </w:tbl>
    <w:p>
      <w:pPr>
        <w:spacing w:after="200"/>
      </w:pPr>
    </w:p>
    <w:p>
      <w:pPr>
        <w:spacing w:after="140" w:line="288"/>
      </w:pPr>
      <w:r>
        <w:rPr>
          <w:rFonts w:ascii="Malgun Gothic" w:cs="Malgun Gothic" w:eastAsia="Malgun Gothic" w:hAnsi="Malgun Gothic"/>
          <w:sz w:val="19"/>
          <w:szCs w:val="19"/>
        </w:rPr>
        <w:t xml:space="preserve">절반 가까이가 어긋났고, 원인은 한쪽으로 몰렸습니다. 불일치 159건 중 138건이 분모 문제였고, 분자 문제는 35건입니다.</w:t>
      </w:r>
    </w:p>
    <w:p>
      <w:pPr>
        <w:pStyle w:val="Heading2"/>
        <w:spacing w:after="120" w:before="300"/>
      </w:pPr>
      <w:r>
        <w:rPr>
          <w:rFonts w:ascii="Malgun Gothic" w:cs="Malgun Gothic" w:eastAsia="Malgun Gothic" w:hAnsi="Malgun Gothic"/>
          <w:b/>
          <w:bCs/>
          <w:color w:val="1F3864"/>
          <w:sz w:val="23"/>
          <w:szCs w:val="23"/>
        </w:rPr>
        <w:t xml:space="preserve">4. 어느 쪽이 틀렸는지 — 판단이 필요 없는 검정</w:t>
      </w:r>
    </w:p>
    <w:p>
      <w:pPr>
        <w:spacing w:after="140" w:line="288"/>
      </w:pPr>
      <w:r>
        <w:rPr>
          <w:rFonts w:ascii="Malgun Gothic" w:cs="Malgun Gothic" w:eastAsia="Malgun Gothic" w:hAnsi="Malgun Gothic"/>
          <w:sz w:val="19"/>
          <w:szCs w:val="19"/>
        </w:rPr>
        <w:t xml:space="preserve">분모가 다르다는 것만으로는 어느 쪽이 맞는지 알 수 없습니다. 그래서 판단이 끼어들 여지가 없는 검정을 했습니다. </w:t>
      </w:r>
      <w:r>
        <w:rPr>
          <w:rFonts w:ascii="Malgun Gothic" w:cs="Malgun Gothic" w:eastAsia="Malgun Gothic" w:hAnsi="Malgun Gothic"/>
          <w:b/>
          <w:bCs/>
          <w:sz w:val="19"/>
          <w:szCs w:val="19"/>
        </w:rPr>
        <w:t xml:space="preserve">10-K에 장기차입금 태그가 있는 기업은 장기차입금이 있었던 것이고, 그걸 0으로 기록한 조사는 틀린 것</w:t>
      </w:r>
      <w:r>
        <w:rPr>
          <w:rFonts w:ascii="Malgun Gothic" w:cs="Malgun Gothic" w:eastAsia="Malgun Gothic" w:hAnsi="Malgun Gothic"/>
          <w:sz w:val="19"/>
          <w:szCs w:val="19"/>
        </w:rPr>
        <w:t xml:space="preserve">입니다.</w:t>
      </w:r>
    </w:p>
    <w:tbl>
      <w:tblPr>
        <w:tblW w:type="dxa" w:w="9360"/>
        <w:tblBorders>
          <w:top w:val="single" w:color="BFBFBF" w:sz="2"/>
          <w:left w:val="none"/>
          <w:bottom w:val="single" w:color="BFBFBF" w:sz="2"/>
          <w:right w:val="none"/>
          <w:insideH w:val="single" w:color="D9D9D9" w:sz="1"/>
          <w:insideV w:val="none"/>
        </w:tblBorders>
      </w:tblPr>
      <w:tblGrid>
        <w:gridCol w:w="1872"/>
        <w:gridCol w:w="1498"/>
        <w:gridCol w:w="1498"/>
        <w:gridCol w:w="1498"/>
        <w:gridCol w:w="1498"/>
        <w:gridCol w:w="1498"/>
      </w:tblGrid>
      <w:tr>
        <w:trPr>
          <w:tblHeader/>
        </w:trPr>
        <w:tc>
          <w:tcPr>
            <w:tcW w:type="dxa" w:w="187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기업</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티커</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누락 연수</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공시 장기차입금(최대, 십억$)</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1차 조사 총차입금</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재산출 총차입금</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오라클</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ORCL</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10년</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86.4</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90.5</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브로드컴</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AVGO</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4년</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40.2</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0.8</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41.5</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코카콜라</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KO</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7년</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40.1</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42.8</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셰브론</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CVX</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2년</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35.2</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19.8</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55.0</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비자</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V</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3년</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16.6</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0.0</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16.6</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GE 버노바</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GEV</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1년</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0.3</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0.1</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0.4</w:t>
            </w:r>
          </w:p>
        </w:tc>
      </w:tr>
    </w:tbl>
    <w:p>
      <w:pPr>
        <w:spacing w:after="200"/>
      </w:pPr>
    </w:p>
    <w:p>
      <w:pPr>
        <w:spacing w:after="140" w:line="288"/>
      </w:pPr>
      <w:r>
        <w:rPr>
          <w:rFonts w:ascii="Malgun Gothic" w:cs="Malgun Gothic" w:eastAsia="Malgun Gothic" w:hAnsi="Malgun Gothic"/>
          <w:sz w:val="19"/>
          <w:szCs w:val="19"/>
        </w:rPr>
        <w:t xml:space="preserve">오라클은 10년 전부가 여기에 해당합니다. 1차 조사는 오라클의 투하자본을 12.6십억 달러로 잡았는데, 그 해 공시된 차입금만 86.9십억 달러였습니다. ROIC 761%는 그 결과입니다.</w:t>
      </w:r>
    </w:p>
    <w:p>
      <w:pPr>
        <w:spacing w:after="140" w:line="288"/>
      </w:pPr>
      <w:r>
        <w:rPr>
          <w:rFonts w:ascii="Malgun Gothic" w:cs="Malgun Gothic" w:eastAsia="Malgun Gothic" w:hAnsi="Malgun Gothic"/>
          <w:sz w:val="19"/>
          <w:szCs w:val="19"/>
        </w:rPr>
        <w:t xml:space="preserve">반대 방향 오류도 있었습니다. 애플 FY2016의 현금을 1차 조사는 20.5십억 달러로 기록했지만, 단기 유가증권 46.7십억 달러를 합한 67.2십억 달러가 차감 대상입니다. 이 경우 1차 조사는 분모를 과대하게 잡아 </w:t>
      </w:r>
      <w:r>
        <w:rPr>
          <w:rFonts w:ascii="Malgun Gothic" w:cs="Malgun Gothic" w:eastAsia="Malgun Gothic" w:hAnsi="Malgun Gothic"/>
          <w:b/>
          <w:bCs/>
          <w:sz w:val="19"/>
          <w:szCs w:val="19"/>
        </w:rPr>
        <w:t xml:space="preserve">ROIC를 낮게</w:t>
      </w:r>
      <w:r>
        <w:rPr>
          <w:rFonts w:ascii="Malgun Gothic" w:cs="Malgun Gothic" w:eastAsia="Malgun Gothic" w:hAnsi="Malgun Gothic"/>
          <w:sz w:val="19"/>
          <w:szCs w:val="19"/>
        </w:rPr>
        <w:t xml:space="preserve"> 보고 있었습니다. 오류가 한쪽으로만 기울지 않았다는 뜻입니다.</w:t>
      </w:r>
    </w:p>
    <w:p>
      <w:pPr>
        <w:pStyle w:val="Heading2"/>
        <w:spacing w:after="120" w:before="300"/>
      </w:pPr>
      <w:r>
        <w:rPr>
          <w:rFonts w:ascii="Malgun Gothic" w:cs="Malgun Gothic" w:eastAsia="Malgun Gothic" w:hAnsi="Malgun Gothic"/>
          <w:b/>
          <w:bCs/>
          <w:color w:val="1F3864"/>
          <w:sz w:val="23"/>
          <w:szCs w:val="23"/>
        </w:rPr>
        <w:t xml:space="preserve">5. 재조사 쪽에서도 발견된 오류</w:t>
      </w:r>
    </w:p>
    <w:p>
      <w:pPr>
        <w:spacing w:after="140" w:line="288"/>
      </w:pPr>
      <w:r>
        <w:rPr>
          <w:rFonts w:ascii="Malgun Gothic" w:cs="Malgun Gothic" w:eastAsia="Malgun Gothic" w:hAnsi="Malgun Gothic"/>
          <w:sz w:val="19"/>
          <w:szCs w:val="19"/>
        </w:rPr>
        <w:t xml:space="preserve">재조사가 1차 조사보다 낫다는 결론은 검증을 거친 뒤에야 말할 수 있습니다. 실제로 재조사 과정에서 제 쪽 오류를 여섯 건 찾아 고쳤고, 전부 검증 장치가 잡아낸 것입니다.</w:t>
      </w:r>
    </w:p>
    <w:tbl>
      <w:tblPr>
        <w:tblW w:type="dxa" w:w="9360"/>
        <w:tblBorders>
          <w:top w:val="single" w:color="BFBFBF" w:sz="2"/>
          <w:left w:val="none"/>
          <w:bottom w:val="single" w:color="BFBFBF" w:sz="2"/>
          <w:right w:val="none"/>
          <w:insideH w:val="single" w:color="D9D9D9" w:sz="1"/>
          <w:insideV w:val="none"/>
        </w:tblBorders>
      </w:tblPr>
      <w:tblGrid>
        <w:gridCol w:w="2059"/>
        <w:gridCol w:w="5242"/>
        <w:gridCol w:w="2059"/>
      </w:tblGrid>
      <w:tr>
        <w:trPr>
          <w:tblHeader/>
        </w:trPr>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무엇이 틀렸는지</w:t>
            </w:r>
          </w:p>
        </w:tc>
        <w:tc>
          <w:tcPr>
            <w:tcW w:type="dxa" w:w="524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증상</w:t>
            </w:r>
          </w:p>
        </w:tc>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어떻게 잡았는지</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알파벳 FY2016 단기투자자산 누락 — FY2017 이후 태그만 찾고 있었음</w:t>
            </w:r>
          </w:p>
        </w:tc>
        <w:tc>
          <w:tcPr>
            <w:tcW w:type="dxa" w:w="52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16% (실제 34%)</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연도 간 현금 연속성 점검</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램리서치 현금 과다차감 — 만기표의 1년 이내 컬럼($4,844m)을 유동 투자자산($1,773m)으로 오인</w:t>
            </w:r>
          </w:p>
        </w:tc>
        <w:tc>
          <w:tcPr>
            <w:tcW w:type="dxa" w:w="52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675%</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차감 현금 ≤ 유동자산 트립와이어 + 공시 앵커</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오라클 차입금 이중계상 — 현재분 포함 총액에 현재분을 또 더함</w:t>
            </w:r>
          </w:p>
        </w:tc>
        <w:tc>
          <w:tcPr>
            <w:tcW w:type="dxa" w:w="52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차입금 $97.5bn (실제 $86.9bn)</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차입금 ≤ 총부채 트립와이어 + 공시 앵커</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마스터카드 FY2017 차입금 0 — 10-K에만 의존해 10-Q 비교수치를 못 봄</w:t>
            </w:r>
          </w:p>
        </w:tc>
        <w:tc>
          <w:tcPr>
            <w:tcW w:type="dxa" w:w="52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243%</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연도 간 차입금 연속성</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엔비디아 FY2016 — 기초자본이 음수인데 평균을 냄</w:t>
            </w:r>
          </w:p>
        </w:tc>
        <w:tc>
          <w:tcPr>
            <w:tcW w:type="dxa" w:w="52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892%</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부호 전환 시 기말 단독 사용 규칙</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아멕스 — FY2010과 FY2016 자본의 평균. 직전 '행'을 썼기 때문</w:t>
            </w:r>
          </w:p>
        </w:tc>
        <w:tc>
          <w:tcPr>
            <w:tcW w:type="dxa" w:w="52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평균 투하자본 43% 과대</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엑셀 수식 검증(직전 연도 참조 확인)</w:t>
            </w:r>
          </w:p>
        </w:tc>
      </w:tr>
    </w:tbl>
    <w:p>
      <w:pPr>
        <w:spacing w:after="200"/>
      </w:pPr>
    </w:p>
    <w:p>
      <w:pPr>
        <w:spacing w:after="140" w:line="288"/>
      </w:pPr>
      <w:r>
        <w:rPr>
          <w:rFonts w:ascii="Malgun Gothic" w:cs="Malgun Gothic" w:eastAsia="Malgun Gothic" w:hAnsi="Malgun Gothic"/>
          <w:sz w:val="19"/>
          <w:szCs w:val="19"/>
        </w:rPr>
        <w:t xml:space="preserve">코스트코를 한 번 통째로 날린 적도 있습니다. 순투하자본이 매출의 10% 미만인 해를 '분모가 너무 작다'며 제외하는 규칙을 넣었더니, 회전율이 높은 유통업이 전부 걸렸습니다. 유통업이 거대한 매출에 얇은 자본을 쓰는 건 자료 문제가 아니라 사업의 성격이므로, 제외가 아니라 표시로 바꿨습니다.</w:t>
      </w:r>
    </w:p>
    <w:p>
      <w:pPr>
        <w:pStyle w:val="Heading2"/>
        <w:spacing w:after="120" w:before="300"/>
      </w:pPr>
      <w:r>
        <w:rPr>
          <w:rFonts w:ascii="Malgun Gothic" w:cs="Malgun Gothic" w:eastAsia="Malgun Gothic" w:hAnsi="Malgun Gothic"/>
          <w:b/>
          <w:bCs/>
          <w:color w:val="1F3864"/>
          <w:sz w:val="23"/>
          <w:szCs w:val="23"/>
        </w:rPr>
        <w:t xml:space="preserve">6. 영업이익 소계를 보고하지 않는 기업</w:t>
      </w:r>
    </w:p>
    <w:p>
      <w:pPr>
        <w:spacing w:after="140" w:line="288"/>
      </w:pPr>
      <w:r>
        <w:rPr>
          <w:rFonts w:ascii="Malgun Gothic" w:cs="Malgun Gothic" w:eastAsia="Malgun Gothic" w:hAnsi="Malgun Gothic"/>
          <w:sz w:val="19"/>
          <w:szCs w:val="19"/>
        </w:rPr>
        <w:t xml:space="preserve">KLA (KLAC), 일라이 릴리 (LLY), 존슨앤드존슨 (JNJ), 머크 (MRK), IBM, 엑슨모빌 (XOM), 셰브론 (CVX), 제너럴 일렉트릭 (GE) — 이 8곳은 손익계산서에 영업이익 소계가 없습니다. 분자를 만들어야 하는데, 어떻게 만들지는 주장이 아니라 측정으로 정했습니다. 소계를 보고하는 기업-연도에서 각 구성 방식을 보고치와 맞춰봤습니다.</w:t>
      </w:r>
    </w:p>
    <w:tbl>
      <w:tblPr>
        <w:tblW w:type="dxa" w:w="9360"/>
        <w:tblBorders>
          <w:top w:val="single" w:color="BFBFBF" w:sz="2"/>
          <w:left w:val="none"/>
          <w:bottom w:val="single" w:color="BFBFBF" w:sz="2"/>
          <w:right w:val="none"/>
          <w:insideH w:val="single" w:color="D9D9D9" w:sz="1"/>
          <w:insideV w:val="none"/>
        </w:tblBorders>
      </w:tblPr>
      <w:tblGrid>
        <w:gridCol w:w="1872"/>
        <w:gridCol w:w="1872"/>
        <w:gridCol w:w="1872"/>
        <w:gridCol w:w="1872"/>
        <w:gridCol w:w="1872"/>
      </w:tblGrid>
      <w:tr>
        <w:trPr>
          <w:tblHeader/>
        </w:trPr>
        <w:tc>
          <w:tcPr>
            <w:tcW w:type="dxa" w:w="187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구성 경로</w:t>
            </w:r>
          </w:p>
        </w:tc>
        <w:tc>
          <w:tcPr>
            <w:tcW w:type="dxa" w:w="187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검정</w:t>
            </w:r>
          </w:p>
        </w:tc>
        <w:tc>
          <w:tcPr>
            <w:tcW w:type="dxa" w:w="187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±2% 일치</w:t>
            </w:r>
          </w:p>
        </w:tc>
        <w:tc>
          <w:tcPr>
            <w:tcW w:type="dxa" w:w="187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정확도</w:t>
            </w:r>
          </w:p>
        </w:tc>
        <w:tc>
          <w:tcPr>
            <w:tcW w:type="dxa" w:w="187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중위 오차</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B  매출총이익 − 영업비용</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228</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228</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100.0%</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0.00%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D  매출 − 매출원가 − 영업비용</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241</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228</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94.6%</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0.00%</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  매출 − 총비용</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176</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151</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85.8%</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0.00%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  세전이익 − 영업외수익</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478</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241</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50.4%</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1.74%</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E  매출총이익 − R&amp;D − 판관비</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342</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161</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47.1%</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  세전이익 + 이자비용 − 이자·투자수익</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503</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212</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42.1%</w:t>
            </w:r>
          </w:p>
        </w:tc>
        <w:tc>
          <w:tcPr>
            <w:tcW w:type="dxa" w:w="187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2.87%</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H  세전이익 + 이자비용 (감사에서 기각된 방식)</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503</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165</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32.8%</w:t>
            </w:r>
          </w:p>
        </w:tc>
        <w:tc>
          <w:tcPr>
            <w:tcW w:type="dxa" w:w="187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r>
    </w:tbl>
    <w:p>
      <w:pPr>
        <w:spacing w:after="200"/>
      </w:pPr>
    </w:p>
    <w:p>
      <w:pPr>
        <w:spacing w:after="140" w:line="288"/>
      </w:pPr>
      <w:r>
        <w:rPr>
          <w:rFonts w:ascii="Malgun Gothic" w:cs="Malgun Gothic" w:eastAsia="Malgun Gothic" w:hAnsi="Malgun Gothic"/>
          <w:sz w:val="19"/>
          <w:szCs w:val="19"/>
        </w:rPr>
        <w:t xml:space="preserve">이 표는 1차 조사의 방법 기술에 대한 답도 됩니다. 1차 조사의 method_notes는 분자를 '세전이익+이자비용을 우선 사용'한다고 적어두었는데, 실제 기록은 보고 소계 340건 대 세전이익+이자 124건으로 우선순위가 반대였습니다. 설명이 구현과 어긋나 있었던 것이고, 설명을 고쳤습니다. 그리고 그 방식(경로 H)은 측정해보니 정확도 32.7%로 전 경로 중 최하위였습니다 — 이자·투자수익을 빼주면(경로 G) 42.1%로 올라갑니다.</w:t>
      </w:r>
    </w:p>
    <w:p>
      <w:pPr>
        <w:spacing w:after="140" w:line="288"/>
      </w:pPr>
      <w:r>
        <w:rPr>
          <w:rFonts w:ascii="Malgun Gothic" w:cs="Malgun Gothic" w:eastAsia="Malgun Gothic" w:hAnsi="Malgun Gothic"/>
          <w:sz w:val="19"/>
          <w:szCs w:val="19"/>
        </w:rPr>
        <w:t xml:space="preserve">다만 </w:t>
      </w:r>
      <w:r>
        <w:rPr>
          <w:rFonts w:ascii="Malgun Gothic" w:cs="Malgun Gothic" w:eastAsia="Malgun Gothic" w:hAnsi="Malgun Gothic"/>
          <w:b/>
          <w:bCs/>
          <w:sz w:val="19"/>
          <w:szCs w:val="19"/>
        </w:rPr>
        <w:t xml:space="preserve">±2% 일치율은 이 문제에 맞는 통계가 아닙니다.</w:t>
      </w:r>
      <w:r>
        <w:rPr>
          <w:rFonts w:ascii="Malgun Gothic" w:cs="Malgun Gothic" w:eastAsia="Malgun Gothic" w:hAnsi="Malgun Gothic"/>
          <w:sz w:val="19"/>
          <w:szCs w:val="19"/>
        </w:rPr>
        <w:t xml:space="preserve"> 목적이 ROIC를 10% 문턱과 비교하는 것이므로, 중요한 건 분자를 바꿨을 때 문턱 판정이 뒤집히는지입니다. 그걸 직접 측정했습니다.</w:t>
      </w:r>
    </w:p>
    <w:tbl>
      <w:tblPr>
        <w:tblW w:type="dxa" w:w="9360"/>
        <w:tblBorders>
          <w:top w:val="single" w:color="BFBFBF" w:sz="2"/>
          <w:left w:val="none"/>
          <w:bottom w:val="single" w:color="BFBFBF" w:sz="2"/>
          <w:right w:val="none"/>
          <w:insideH w:val="single" w:color="D9D9D9" w:sz="1"/>
          <w:insideV w:val="none"/>
        </w:tblBorders>
      </w:tblPr>
      <w:tblGrid>
        <w:gridCol w:w="1872"/>
        <w:gridCol w:w="1498"/>
        <w:gridCol w:w="1498"/>
        <w:gridCol w:w="1498"/>
        <w:gridCol w:w="1498"/>
        <w:gridCol w:w="1498"/>
      </w:tblGrid>
      <w:tr>
        <w:trPr>
          <w:tblHeader/>
        </w:trPr>
        <w:tc>
          <w:tcPr>
            <w:tcW w:type="dxa" w:w="187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구성 경로</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검정</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판정 뒤집힘</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비율</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 중위 격차</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90분위</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B 매출총이익−영업비용</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207</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0.0%</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0.00%</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0.00%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 매출−총비용</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167</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0.6%</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0.00%</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0.35%</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H 세전이익+이자 (1차 조사 설명의 방식)</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477</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2.3%</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1.11%</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5.59%</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D 매출−매출원가−영업비용</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220</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2.7%</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0.00%</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0.00%</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 세전이익+이자−이자·투자수익</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477</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2.9%</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0.77%</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5.19%</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 세전이익−영업외수익</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448</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0.35%</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3.98%</w:t>
            </w:r>
          </w:p>
        </w:tc>
      </w:tr>
    </w:tbl>
    <w:p>
      <w:pPr>
        <w:spacing w:after="200"/>
      </w:pPr>
    </w:p>
    <w:p>
      <w:pPr>
        <w:spacing w:after="140" w:line="288"/>
      </w:pPr>
      <w:r>
        <w:rPr>
          <w:rFonts w:ascii="Malgun Gothic" w:cs="Malgun Gothic" w:eastAsia="Malgun Gothic" w:hAnsi="Malgun Gothic"/>
          <w:sz w:val="19"/>
          <w:szCs w:val="19"/>
        </w:rPr>
        <w:t xml:space="preserve">즉 세전이익 기반 추정은 ROIC 수준을 몇 %p 틀릴 수 있지만 10% 문턱 판정은 97% 정확합니다. 그래서 이 여덟 기업을 버리지 않고 추정값으로 포함했고, 두 가지 추정 방식을 모두 계산해 판정이 일치하는지 기업-연도마다 기록했습니다. 해당 연도는 137건(금융업 포함)이며 표에서 별표(*)로 표시했습니다.</w:t>
      </w:r>
    </w:p>
    <w:p>
      <w:pPr>
        <w:spacing w:after="140" w:line="288"/>
      </w:pPr>
      <w:r>
        <w:rPr>
          <w:rFonts w:ascii="Malgun Gothic" w:cs="Malgun Gothic" w:eastAsia="Malgun Gothic" w:hAnsi="Malgun Gothic"/>
          <w:sz w:val="19"/>
          <w:szCs w:val="19"/>
        </w:rPr>
        <w:t xml:space="preserve">다만 경로 선택에는 함정이 하나 더 있었습니다. 경로 C의 85.8%라는 정확도는 소계를 보고하는 기업에서만 측정된 값이라, 소계를 보고하지 않는 기업에 그대로 적용되지 않습니다. 실제로 제너럴 일렉트릭(GE)에 적용하자 FY2016 영업이익이 −6.4십억 달러로 나왔습니다 (Revenues 태그는 산업부문만, CostsAndExpenses는 그룹 전체를 담고 있었습니다). 그래서 모든 상향식 구성값은 </w:t>
      </w:r>
      <w:r>
        <w:rPr>
          <w:rFonts w:ascii="Malgun Gothic" w:cs="Malgun Gothic" w:eastAsia="Malgun Gothic" w:hAnsi="Malgun Gothic"/>
          <w:b/>
          <w:bCs/>
          <w:sz w:val="19"/>
          <w:szCs w:val="19"/>
        </w:rPr>
        <w:t xml:space="preserve">세전이익으로 역검증</w:t>
      </w:r>
      <w:r>
        <w:rPr>
          <w:rFonts w:ascii="Malgun Gothic" w:cs="Malgun Gothic" w:eastAsia="Malgun Gothic" w:hAnsi="Malgun Gothic"/>
          <w:sz w:val="19"/>
          <w:szCs w:val="19"/>
        </w:rPr>
        <w:t xml:space="preserve">을 통과해야만 쓰도록 했고, 경로 선택은 연도별이 아니라 기업별로 한 번만 하도록 바꿨습니다 — 연도마다 다른 경로를 쓰면 10년 추세가 사업이 아니라 경로를 측정하게 되기 때문입니다.</w:t>
      </w:r>
    </w:p>
    <w:p>
      <w:pPr>
        <w:pStyle w:val="Heading2"/>
        <w:spacing w:after="120" w:before="300"/>
      </w:pPr>
      <w:r>
        <w:rPr>
          <w:rFonts w:ascii="Malgun Gothic" w:cs="Malgun Gothic" w:eastAsia="Malgun Gothic" w:hAnsi="Malgun Gothic"/>
          <w:b/>
          <w:bCs/>
          <w:color w:val="1F3864"/>
          <w:sz w:val="23"/>
          <w:szCs w:val="23"/>
        </w:rPr>
        <w:t xml:space="preserve">7. ROIC 연도별 — vs WACC 10%</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굵은 음영 없음 = 10% 초과. 괄호는 10% 이하. * = 영업이익을 세전이익에서 추정한 해. † = 순투하자본이 매출의 10% 미만이어서 비율이 민감한 해 (문턱 판정 자체는 유효). 단위 %.</w:t>
      </w:r>
    </w:p>
    <w:tbl>
      <w:tblPr>
        <w:tblW w:type="dxa" w:w="9360"/>
        <w:tblBorders>
          <w:top w:val="single" w:color="BFBFBF" w:sz="2"/>
          <w:left w:val="none"/>
          <w:bottom w:val="single" w:color="BFBFBF" w:sz="2"/>
          <w:right w:val="none"/>
          <w:insideH w:val="single" w:color="D9D9D9" w:sz="1"/>
          <w:insideV w:val="none"/>
        </w:tblBorders>
      </w:tblPr>
      <w:tblGrid>
        <w:gridCol w:w="453"/>
        <w:gridCol w:w="1511"/>
        <w:gridCol w:w="705"/>
        <w:gridCol w:w="494"/>
        <w:gridCol w:w="494"/>
        <w:gridCol w:w="494"/>
        <w:gridCol w:w="494"/>
        <w:gridCol w:w="494"/>
        <w:gridCol w:w="494"/>
        <w:gridCol w:w="494"/>
        <w:gridCol w:w="494"/>
        <w:gridCol w:w="494"/>
        <w:gridCol w:w="494"/>
        <w:gridCol w:w="494"/>
        <w:gridCol w:w="605"/>
        <w:gridCol w:w="655"/>
      </w:tblGrid>
      <w:tr>
        <w:trPr>
          <w:tblHeader/>
        </w:trPr>
        <w:tc>
          <w:tcPr>
            <w:tcW w:type="dxa" w:w="45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순위</w:t>
            </w:r>
          </w:p>
        </w:tc>
        <w:tc>
          <w:tcPr>
            <w:tcW w:type="dxa" w:w="151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기업</w:t>
            </w:r>
          </w:p>
        </w:tc>
        <w:tc>
          <w:tcPr>
            <w:tcW w:type="dxa" w:w="70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티커</w:t>
            </w:r>
          </w:p>
        </w:tc>
        <w:tc>
          <w:tcPr>
            <w:tcW w:type="dxa" w:w="4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16</w:t>
            </w:r>
          </w:p>
        </w:tc>
        <w:tc>
          <w:tcPr>
            <w:tcW w:type="dxa" w:w="4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17</w:t>
            </w:r>
          </w:p>
        </w:tc>
        <w:tc>
          <w:tcPr>
            <w:tcW w:type="dxa" w:w="4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18</w:t>
            </w:r>
          </w:p>
        </w:tc>
        <w:tc>
          <w:tcPr>
            <w:tcW w:type="dxa" w:w="4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19</w:t>
            </w:r>
          </w:p>
        </w:tc>
        <w:tc>
          <w:tcPr>
            <w:tcW w:type="dxa" w:w="4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20</w:t>
            </w:r>
          </w:p>
        </w:tc>
        <w:tc>
          <w:tcPr>
            <w:tcW w:type="dxa" w:w="4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21</w:t>
            </w:r>
          </w:p>
        </w:tc>
        <w:tc>
          <w:tcPr>
            <w:tcW w:type="dxa" w:w="4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22</w:t>
            </w:r>
          </w:p>
        </w:tc>
        <w:tc>
          <w:tcPr>
            <w:tcW w:type="dxa" w:w="4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23</w:t>
            </w:r>
          </w:p>
        </w:tc>
        <w:tc>
          <w:tcPr>
            <w:tcW w:type="dxa" w:w="4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24</w:t>
            </w:r>
          </w:p>
        </w:tc>
        <w:tc>
          <w:tcPr>
            <w:tcW w:type="dxa" w:w="4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25</w:t>
            </w:r>
          </w:p>
        </w:tc>
        <w:tc>
          <w:tcPr>
            <w:tcW w:type="dxa" w:w="49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26</w:t>
            </w:r>
          </w:p>
        </w:tc>
        <w:tc>
          <w:tcPr>
            <w:tcW w:type="dxa" w:w="60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중위</w:t>
            </w:r>
          </w:p>
        </w:tc>
        <w:tc>
          <w:tcPr>
            <w:tcW w:type="dxa" w:w="65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초과</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아리스타 네트웍스</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ANET</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229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428†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165</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엔비디아</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NVDA</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179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113</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마스터카드</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MA</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93</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애플</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AAPL</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71</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마이크로소프트</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MSFT</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70</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램리서치</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LRCX</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78</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63</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필립모리스 인터내셔널</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PM</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51</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KLA</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KLAC</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49</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49</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텍사스 인스트루먼츠</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TXN</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45</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메타 플랫폼스</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META</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45</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홈디포</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HD</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43</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어플라이드 머티리얼즈</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AMAT</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42</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알파벳</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GOOG</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38</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코스트코</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COST</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44†</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38</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시스코 시스템즈</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CSCO</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비자</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V</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31</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17</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아마존</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AMZN</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30</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일라이 릴리</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LLY</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존슨앤드존슨</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JNJ</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23</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프록터앤드갬블</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PG</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애브비</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ABBV</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22</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넷플릭스</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NFLX</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23</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오라클</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ORCL</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24</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마이크론 테크놀로지</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MU</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107</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25</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캐터필러</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CAT</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26</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델 테크놀로지스</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DELL</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5/9</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27</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코카콜라</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KO</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월마트</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WMT</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29</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인텔</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INTC</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30</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머크</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MRK</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31</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IBM</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IBM</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32</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브로드컴</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AVGO</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33</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AMD</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AMD</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34</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테슬라</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TSLA</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35</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엑슨모빌</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XOM</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셰브론</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CVX</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37</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RTX</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RTX</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2/10</w:t>
            </w:r>
          </w:p>
        </w:tc>
      </w:tr>
      <w:tr>
        <w:tc>
          <w:tcPr>
            <w:tcW w:type="dxa" w:w="45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38</w:t>
            </w:r>
          </w:p>
        </w:tc>
        <w:tc>
          <w:tcPr>
            <w:tcW w:type="dxa" w:w="151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제너럴 일렉트릭</w:t>
            </w:r>
          </w:p>
        </w:tc>
        <w:tc>
          <w:tcPr>
            <w:tcW w:type="dxa" w:w="7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GE</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(-17*)</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16*</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28*</w:t>
            </w:r>
          </w:p>
        </w:tc>
        <w:tc>
          <w:tcPr>
            <w:tcW w:type="dxa" w:w="49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60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c>
          <w:tcPr>
            <w:tcW w:type="dxa" w:w="6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2/10</w:t>
            </w:r>
          </w:p>
        </w:tc>
      </w:tr>
      <w:tr>
        <w:tc>
          <w:tcPr>
            <w:tcW w:type="dxa" w:w="45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39</w:t>
            </w:r>
          </w:p>
        </w:tc>
        <w:tc>
          <w:tcPr>
            <w:tcW w:type="dxa" w:w="151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팔로알토 네트웍스</w:t>
            </w:r>
          </w:p>
        </w:tc>
        <w:tc>
          <w:tcPr>
            <w:tcW w:type="dxa" w:w="7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PANW</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(-77†)</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(-25)</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38</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33</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24</w:t>
            </w:r>
          </w:p>
        </w:tc>
        <w:tc>
          <w:tcPr>
            <w:tcW w:type="dxa" w:w="49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60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w:t>
            </w:r>
          </w:p>
        </w:tc>
        <w:tc>
          <w:tcPr>
            <w:tcW w:type="dxa" w:w="6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3/9</w:t>
            </w:r>
          </w:p>
        </w:tc>
      </w:tr>
    </w:tbl>
    <w:p>
      <w:pPr>
        <w:spacing w:after="200"/>
      </w:pPr>
    </w:p>
    <w:p>
      <w:pPr>
        <w:pStyle w:val="Heading2"/>
        <w:spacing w:after="120" w:before="300"/>
      </w:pPr>
      <w:r>
        <w:rPr>
          <w:rFonts w:ascii="Malgun Gothic" w:cs="Malgun Gothic" w:eastAsia="Malgun Gothic" w:hAnsi="Malgun Gothic"/>
          <w:b/>
          <w:bCs/>
          <w:color w:val="1F3864"/>
          <w:sz w:val="23"/>
          <w:szCs w:val="23"/>
        </w:rPr>
        <w:t xml:space="preserve">8. ROIC − 10% 스프레드 (중위 기준)</w:t>
      </w:r>
    </w:p>
    <w:tbl>
      <w:tblPr>
        <w:tblW w:type="dxa" w:w="9360"/>
        <w:tblBorders>
          <w:top w:val="single" w:color="BFBFBF" w:sz="2"/>
          <w:left w:val="none"/>
          <w:bottom w:val="single" w:color="BFBFBF" w:sz="2"/>
          <w:right w:val="none"/>
          <w:insideH w:val="single" w:color="D9D9D9" w:sz="1"/>
          <w:insideV w:val="none"/>
        </w:tblBorders>
      </w:tblPr>
      <w:tblGrid>
        <w:gridCol w:w="2059"/>
        <w:gridCol w:w="5242"/>
        <w:gridCol w:w="2059"/>
      </w:tblGrid>
      <w:tr>
        <w:trPr>
          <w:tblHeader/>
        </w:trPr>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구간</w:t>
            </w:r>
          </w:p>
        </w:tc>
        <w:tc>
          <w:tcPr>
            <w:tcW w:type="dxa" w:w="524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기업</w:t>
            </w:r>
          </w:p>
        </w:tc>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기업 수</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+40%p 이상</w:t>
            </w:r>
          </w:p>
        </w:tc>
        <w:tc>
          <w:tcPr>
            <w:tcW w:type="dxa" w:w="52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아리스타 네트웍스 (ANET), 엔비디아 (NVDA), 마스터카드 (MA), 애플 (AAPL), 마이크로소프트 (MSFT), 램리서치 (LRCX), 필립모리스 인터내셔널 (PM)</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+20~40%p</w:t>
            </w:r>
          </w:p>
        </w:tc>
        <w:tc>
          <w:tcPr>
            <w:tcW w:type="dxa" w:w="52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KLA (KLAC), 텍사스 인스트루먼츠 (TXN), 메타 플랫폼스 (META), 홈디포 (HD), 어플라이드 머티리얼즈 (AMAT), 알파벳 (GOOG), 코스트코 (COST), 시스코 시스템즈 (CSCO), 비자 (V), 아마존 (AMZN)</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+10~20%p</w:t>
            </w:r>
          </w:p>
        </w:tc>
        <w:tc>
          <w:tcPr>
            <w:tcW w:type="dxa" w:w="52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일라이 릴리 (LLY), 존슨앤드존슨 (JNJ), 프록터앤드갬블 (PG)</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0~+10%p</w:t>
            </w:r>
          </w:p>
        </w:tc>
        <w:tc>
          <w:tcPr>
            <w:tcW w:type="dxa" w:w="524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애브비 (ABBV), 넷플릭스 (NFLX), 오라클 (ORCL), 마이크론 테크놀로지 (MU), 캐터필러 (CAT), 델 테크놀로지스 (DELL), 코카콜라 (KO), 월마트 (WMT), 인텔 (INTC), 머크 (MRK), IBM, 브로드컴 (AVGO), AMD</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음수 (10% 미달)</w:t>
            </w:r>
          </w:p>
        </w:tc>
        <w:tc>
          <w:tcPr>
            <w:tcW w:type="dxa" w:w="524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테슬라 (TSLA), 엑슨모빌 (XOM), 셰브론 (CVX), RTX, 제너럴 일렉트릭 (GE), 팔로알토 네트웍스 (PANW)</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w:t>
            </w:r>
          </w:p>
        </w:tc>
      </w:tr>
    </w:tbl>
    <w:p>
      <w:pPr>
        <w:spacing w:after="200"/>
      </w:pPr>
    </w:p>
    <w:p>
      <w:pPr>
        <w:spacing w:after="140" w:line="288"/>
      </w:pPr>
      <w:r>
        <w:rPr>
          <w:rFonts w:ascii="Malgun Gothic" w:cs="Malgun Gothic" w:eastAsia="Malgun Gothic" w:hAnsi="Malgun Gothic"/>
          <w:sz w:val="19"/>
          <w:szCs w:val="19"/>
        </w:rPr>
        <w:t xml:space="preserve">스프레드의 크기보다 </w:t>
      </w:r>
      <w:r>
        <w:rPr>
          <w:rFonts w:ascii="Malgun Gothic" w:cs="Malgun Gothic" w:eastAsia="Malgun Gothic" w:hAnsi="Malgun Gothic"/>
          <w:b/>
          <w:bCs/>
          <w:sz w:val="19"/>
          <w:szCs w:val="19"/>
        </w:rPr>
        <w:t xml:space="preserve">꾸준함</w:t>
      </w:r>
      <w:r>
        <w:rPr>
          <w:rFonts w:ascii="Malgun Gothic" w:cs="Malgun Gothic" w:eastAsia="Malgun Gothic" w:hAnsi="Malgun Gothic"/>
          <w:sz w:val="19"/>
          <w:szCs w:val="19"/>
        </w:rPr>
        <w:t xml:space="preserve">이 중요합니다. 중위 ROIC가 높아도 변동이 크면 어느 해에 자본을 투입했는지에 따라 결과가 갈리기 때문입니다. 10년 전부 10%를 넘긴 20곳이 그 조건을 만족합니다.</w:t>
      </w:r>
    </w:p>
    <w:tbl>
      <w:tblPr>
        <w:tblW w:type="dxa" w:w="9360"/>
        <w:tblBorders>
          <w:top w:val="single" w:color="BFBFBF" w:sz="2"/>
          <w:left w:val="none"/>
          <w:bottom w:val="single" w:color="BFBFBF" w:sz="2"/>
          <w:right w:val="none"/>
          <w:insideH w:val="single" w:color="D9D9D9" w:sz="1"/>
          <w:insideV w:val="none"/>
        </w:tblBorders>
      </w:tblPr>
      <w:tblGrid>
        <w:gridCol w:w="1872"/>
        <w:gridCol w:w="1248"/>
        <w:gridCol w:w="1248"/>
        <w:gridCol w:w="1248"/>
        <w:gridCol w:w="1248"/>
        <w:gridCol w:w="1248"/>
        <w:gridCol w:w="1248"/>
      </w:tblGrid>
      <w:tr>
        <w:trPr>
          <w:tblHeader/>
        </w:trPr>
        <w:tc>
          <w:tcPr>
            <w:tcW w:type="dxa" w:w="187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기업</w:t>
            </w:r>
          </w:p>
        </w:tc>
        <w:tc>
          <w:tcPr>
            <w:tcW w:type="dxa" w:w="124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티커</w:t>
            </w:r>
          </w:p>
        </w:tc>
        <w:tc>
          <w:tcPr>
            <w:tcW w:type="dxa" w:w="124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중위 ROIC</w:t>
            </w:r>
          </w:p>
        </w:tc>
        <w:tc>
          <w:tcPr>
            <w:tcW w:type="dxa" w:w="124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최소</w:t>
            </w:r>
          </w:p>
        </w:tc>
        <w:tc>
          <w:tcPr>
            <w:tcW w:type="dxa" w:w="124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최대</w:t>
            </w:r>
          </w:p>
        </w:tc>
        <w:tc>
          <w:tcPr>
            <w:tcW w:type="dxa" w:w="124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표준편차</w:t>
            </w:r>
          </w:p>
        </w:tc>
        <w:tc>
          <w:tcPr>
            <w:tcW w:type="dxa" w:w="124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분자 추정 연수</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아리스타 네트웍스</w:t>
            </w:r>
          </w:p>
        </w:tc>
        <w:tc>
          <w:tcPr>
            <w:tcW w:type="dxa" w:w="124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ANET</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165%</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96%</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428%</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97%</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엔비디아</w:t>
            </w:r>
          </w:p>
        </w:tc>
        <w:tc>
          <w:tcPr>
            <w:tcW w:type="dxa" w:w="124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NVDA</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113%</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198%</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마스터카드</w:t>
            </w:r>
          </w:p>
        </w:tc>
        <w:tc>
          <w:tcPr>
            <w:tcW w:type="dxa" w:w="124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MA</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93%</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77%</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182%</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애플</w:t>
            </w:r>
          </w:p>
        </w:tc>
        <w:tc>
          <w:tcPr>
            <w:tcW w:type="dxa" w:w="124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AAPL</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71%</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104%</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마이크로소프트</w:t>
            </w:r>
          </w:p>
        </w:tc>
        <w:tc>
          <w:tcPr>
            <w:tcW w:type="dxa" w:w="124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MSFT</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70%</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117%</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램리서치</w:t>
            </w:r>
          </w:p>
        </w:tc>
        <w:tc>
          <w:tcPr>
            <w:tcW w:type="dxa" w:w="124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LRCX</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63%</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84%</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필립모리스 인터내셔널</w:t>
            </w:r>
          </w:p>
        </w:tc>
        <w:tc>
          <w:tcPr>
            <w:tcW w:type="dxa" w:w="124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PM</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71%</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KLA</w:t>
            </w:r>
          </w:p>
        </w:tc>
        <w:tc>
          <w:tcPr>
            <w:tcW w:type="dxa" w:w="124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KLAC</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49%</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83%</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텍사스 인스트루먼츠</w:t>
            </w:r>
          </w:p>
        </w:tc>
        <w:tc>
          <w:tcPr>
            <w:tcW w:type="dxa" w:w="124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TXN</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75%</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메타 플랫폼스</w:t>
            </w:r>
          </w:p>
        </w:tc>
        <w:tc>
          <w:tcPr>
            <w:tcW w:type="dxa" w:w="124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META</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57%</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홈디포</w:t>
            </w:r>
          </w:p>
        </w:tc>
        <w:tc>
          <w:tcPr>
            <w:tcW w:type="dxa" w:w="124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HD</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어플라이드 머티리얼즈</w:t>
            </w:r>
          </w:p>
        </w:tc>
        <w:tc>
          <w:tcPr>
            <w:tcW w:type="dxa" w:w="124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AMAT</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알파벳</w:t>
            </w:r>
          </w:p>
        </w:tc>
        <w:tc>
          <w:tcPr>
            <w:tcW w:type="dxa" w:w="124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GOOG</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38%</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코스트코</w:t>
            </w:r>
          </w:p>
        </w:tc>
        <w:tc>
          <w:tcPr>
            <w:tcW w:type="dxa" w:w="124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COST</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38%</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시스코 시스템즈</w:t>
            </w:r>
          </w:p>
        </w:tc>
        <w:tc>
          <w:tcPr>
            <w:tcW w:type="dxa" w:w="124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CSCO</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비자</w:t>
            </w:r>
          </w:p>
        </w:tc>
        <w:tc>
          <w:tcPr>
            <w:tcW w:type="dxa" w:w="124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V</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46%</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존슨앤드존슨</w:t>
            </w:r>
          </w:p>
        </w:tc>
        <w:tc>
          <w:tcPr>
            <w:tcW w:type="dxa" w:w="124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JNJ</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애브비</w:t>
            </w:r>
          </w:p>
        </w:tc>
        <w:tc>
          <w:tcPr>
            <w:tcW w:type="dxa" w:w="124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ABBV</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57%</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오라클</w:t>
            </w:r>
          </w:p>
        </w:tc>
        <w:tc>
          <w:tcPr>
            <w:tcW w:type="dxa" w:w="124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ORCL</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w:t>
            </w:r>
          </w:p>
        </w:tc>
        <w:tc>
          <w:tcPr>
            <w:tcW w:type="dxa" w:w="124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월마트</w:t>
            </w:r>
          </w:p>
        </w:tc>
        <w:tc>
          <w:tcPr>
            <w:tcW w:type="dxa" w:w="124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WMT</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w:t>
            </w:r>
          </w:p>
        </w:tc>
        <w:tc>
          <w:tcPr>
            <w:tcW w:type="dxa" w:w="124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w:t>
            </w:r>
          </w:p>
        </w:tc>
      </w:tr>
    </w:tbl>
    <w:p>
      <w:pPr>
        <w:spacing w:after="200"/>
      </w:pPr>
    </w:p>
    <w:p>
      <w:pPr>
        <w:pStyle w:val="Heading2"/>
        <w:spacing w:after="120" w:before="300"/>
      </w:pPr>
      <w:r>
        <w:rPr>
          <w:rFonts w:ascii="Malgun Gothic" w:cs="Malgun Gothic" w:eastAsia="Malgun Gothic" w:hAnsi="Malgun Gothic"/>
          <w:b/>
          <w:bCs/>
          <w:color w:val="1F3864"/>
          <w:sz w:val="23"/>
          <w:szCs w:val="23"/>
        </w:rPr>
        <w:t xml:space="preserve">9. 비율로 읽으면 안 되는 기업</w:t>
      </w:r>
    </w:p>
    <w:p>
      <w:pPr>
        <w:spacing w:after="140" w:line="288"/>
      </w:pPr>
      <w:r>
        <w:rPr>
          <w:rFonts w:ascii="Malgun Gothic" w:cs="Malgun Gothic" w:eastAsia="Malgun Gothic" w:hAnsi="Malgun Gothic"/>
          <w:sz w:val="19"/>
          <w:szCs w:val="19"/>
        </w:rPr>
        <w:t xml:space="preserve">아리스타·램리서치·마스터카드처럼 현금이 자기자본을 거의 상계하는 기업은 순투하자본이 0에 가까워, ROIC가 100%를 넘더라도 그 숫자를 다른 기업과 나란히 놓을 수 없습니다. 아리스타 네트웍스의 FY2025 자기자본 12.4십억 달러 중 10.7십억 달러가 현금이어서 순투하자본은 1.6십억 달러, 매출 9.0십억 달러의 18%입니다. ROIC 192%는 산술적으로 맞지만 '이 사업은 자본이 거의 필요 없다'는 뜻이지 '수익률이 192%'라는 뜻이 아닙니다. 창 안에서 이런 해가 18건이며 표에 †로 표시했습니다. 10% 문턱 판정은 영향받지 않습니다.</w:t>
      </w:r>
    </w:p>
    <w:p>
      <w:pPr>
        <w:spacing w:after="140" w:line="288"/>
      </w:pPr>
      <w:r>
        <w:rPr>
          <w:rFonts w:ascii="Malgun Gothic" w:cs="Malgun Gothic" w:eastAsia="Malgun Gothic" w:hAnsi="Malgun Gothic"/>
          <w:sz w:val="19"/>
          <w:szCs w:val="19"/>
        </w:rPr>
        <w:t xml:space="preserve">팔란티어와 GE버노바는 산출 연도가 5년 미만이어서 순위에서 뺐습니다. 팔란티어는 10년 중 대부분 순투하자본이 음수여서 (현금이 자기자본+차입금을 넘어서) 이 정의로는 ROIC가 성립하지 않습니다. 금융업 9곳(버크셔·JP모건·BoA·씨티·웰스파고·골드만·모건스탠리·아멕스·유나이티드헬스)은 ROIC를 산출하지 않았습니다 (명단은 1장 기업 목록 참조) — 은행에게 차입은 자금조달이 아니라 원재료여서 자기자본+차입금−현금이 아무것도 측정하지 않습니다.</w:t>
      </w:r>
    </w:p>
    <w:p>
      <w:pPr>
        <w:pStyle w:val="Heading2"/>
        <w:spacing w:after="120" w:before="300"/>
      </w:pPr>
      <w:r>
        <w:rPr>
          <w:rFonts w:ascii="Malgun Gothic" w:cs="Malgun Gothic" w:eastAsia="Malgun Gothic" w:hAnsi="Malgun Gothic"/>
          <w:b/>
          <w:bCs/>
          <w:color w:val="1F3864"/>
          <w:sz w:val="23"/>
          <w:szCs w:val="23"/>
        </w:rPr>
        <w:t xml:space="preserve">10. 1차 조사에 반영한 정정</w:t>
      </w:r>
    </w:p>
    <w:tbl>
      <w:tblPr>
        <w:tblW w:type="dxa" w:w="9360"/>
        <w:tblBorders>
          <w:top w:val="single" w:color="BFBFBF" w:sz="2"/>
          <w:left w:val="none"/>
          <w:bottom w:val="single" w:color="BFBFBF" w:sz="2"/>
          <w:right w:val="none"/>
          <w:insideH w:val="single" w:color="D9D9D9" w:sz="1"/>
          <w:insideV w:val="none"/>
        </w:tblBorders>
      </w:tblPr>
      <w:tblGrid>
        <w:gridCol w:w="2434"/>
        <w:gridCol w:w="6926"/>
      </w:tblGrid>
      <w:tr>
        <w:trPr>
          <w:tblHeader/>
        </w:trPr>
        <w:tc>
          <w:tcPr>
            <w:tcW w:type="dxa" w:w="243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692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내용</w:t>
            </w:r>
          </w:p>
        </w:tc>
      </w:tr>
      <w:tr>
        <w:tc>
          <w:tcPr>
            <w:tcW w:type="dxa" w:w="243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정정한 기업-연도</w:t>
            </w:r>
          </w:p>
        </w:tc>
        <w:tc>
          <w:tcPr>
            <w:tcW w:type="dxa" w:w="692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319건 (ROIC·영업이익·실효세율·투하자본)</w:t>
            </w:r>
          </w:p>
        </w:tc>
      </w:tr>
      <w:tr>
        <w:tc>
          <w:tcPr>
            <w:tcW w:type="dxa" w:w="243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method_notes.ebit</w:t>
            </w:r>
          </w:p>
        </w:tc>
        <w:tc>
          <w:tcPr>
            <w:tcW w:type="dxa" w:w="692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분자 우선순위를 실제 구현과 맞게 수정</w:t>
            </w:r>
          </w:p>
        </w:tc>
      </w:tr>
      <w:tr>
        <w:tc>
          <w:tcPr>
            <w:tcW w:type="dxa" w:w="243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method_notes.returns_denominator</w:t>
            </w:r>
          </w:p>
        </w:tc>
        <w:tc>
          <w:tcPr>
            <w:tcW w:type="dxa" w:w="692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부호 전환 해의 예외 명시</w:t>
            </w:r>
          </w:p>
        </w:tc>
      </w:tr>
      <w:tr>
        <w:tc>
          <w:tcPr>
            <w:tcW w:type="dxa" w:w="243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원본 보존</w:t>
            </w:r>
          </w:p>
        </w:tc>
        <w:tc>
          <w:tcPr>
            <w:tcW w:type="dxa" w:w="692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analysis.json.pre-roic-correction</w:t>
            </w:r>
          </w:p>
        </w:tc>
      </w:tr>
      <w:tr>
        <w:tc>
          <w:tcPr>
            <w:tcW w:type="dxa" w:w="243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재계산하지 않은 것</w:t>
            </w:r>
          </w:p>
        </w:tc>
        <w:tc>
          <w:tcPr>
            <w:tcW w:type="dxa" w:w="692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가격·시가총액·주주이익·DCF·가치평가 판정</w:t>
            </w:r>
          </w:p>
        </w:tc>
      </w:tr>
    </w:tbl>
    <w:p>
      <w:pPr>
        <w:spacing w:after="200"/>
      </w:pPr>
    </w:p>
    <w:p>
      <w:pPr>
        <w:spacing w:after="140" w:line="288"/>
      </w:pPr>
      <w:r>
        <w:rPr>
          <w:rFonts w:ascii="Malgun Gothic" w:cs="Malgun Gothic" w:eastAsia="Malgun Gothic" w:hAnsi="Malgun Gothic"/>
          <w:sz w:val="19"/>
          <w:szCs w:val="19"/>
        </w:rPr>
        <w:t xml:space="preserve">ROIC가 바뀐 폭이 큰 기업-연도입니다.</w:t>
      </w:r>
    </w:p>
    <w:tbl>
      <w:tblPr>
        <w:tblW w:type="dxa" w:w="9360"/>
        <w:tblBorders>
          <w:top w:val="single" w:color="BFBFBF" w:sz="2"/>
          <w:left w:val="none"/>
          <w:bottom w:val="single" w:color="BFBFBF" w:sz="2"/>
          <w:right w:val="none"/>
          <w:insideH w:val="single" w:color="D9D9D9" w:sz="1"/>
          <w:insideV w:val="none"/>
        </w:tblBorders>
      </w:tblPr>
      <w:tblGrid>
        <w:gridCol w:w="1872"/>
        <w:gridCol w:w="1498"/>
        <w:gridCol w:w="1498"/>
        <w:gridCol w:w="1498"/>
        <w:gridCol w:w="1498"/>
        <w:gridCol w:w="1498"/>
      </w:tblGrid>
      <w:tr>
        <w:trPr>
          <w:tblHeader/>
        </w:trPr>
        <w:tc>
          <w:tcPr>
            <w:tcW w:type="dxa" w:w="187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기업</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티커</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1차 ROIC</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정정 ROIC</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변화</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오라클</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ORCL</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761%</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-747%p</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엔비디아</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NVDA</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FY2016</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893%</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179%</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-714%p</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오라클</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ORCL</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123%</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-109%p</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마이크로소프트</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MSFT</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FY2016</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172%</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99%</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-73%p</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마스터카드</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MA</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FY2018</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118%</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182%</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+63%p</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팔로알토 네트웍스</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PANW</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FY2017</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-77%</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-55%p</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마스터카드</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MA</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FY2016</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108%</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162%</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+54%p</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마스터카드</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MA</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FY2017</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88%</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140%</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+53%p</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KLA</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KLAC</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FY2017</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81%</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+50%p</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코카콜라</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KO</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FY2021</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61%</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-47%p</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오라클</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ORCL</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FY2018</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62%</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-44%p</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코카콜라</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KO</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59%</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-43%p</w:t>
            </w:r>
          </w:p>
        </w:tc>
      </w:tr>
    </w:tbl>
    <w:p>
      <w:pPr>
        <w:spacing w:after="200"/>
      </w:pPr>
    </w:p>
    <w:p>
      <w:pPr>
        <w:pStyle w:val="Heading3"/>
        <w:spacing w:after="100" w:before="240"/>
      </w:pPr>
      <w:r>
        <w:rPr>
          <w:rFonts w:ascii="Malgun Gothic" w:cs="Malgun Gothic" w:eastAsia="Malgun Gothic" w:hAnsi="Malgun Gothic"/>
          <w:b/>
          <w:bCs/>
          <w:color w:val="8B3A2F"/>
          <w:sz w:val="20"/>
          <w:szCs w:val="20"/>
        </w:rPr>
        <w:t xml:space="preserve">가치평가로 번진 입력 오류 — 재계산하지 않았음</w:t>
      </w:r>
    </w:p>
    <w:p>
      <w:pPr>
        <w:spacing w:after="140" w:line="288"/>
      </w:pPr>
      <w:r>
        <w:rPr>
          <w:rFonts w:ascii="Malgun Gothic" w:cs="Malgun Gothic" w:eastAsia="Malgun Gothic" w:hAnsi="Malgun Gothic"/>
          <w:sz w:val="19"/>
          <w:szCs w:val="19"/>
        </w:rPr>
        <w:t xml:space="preserve">ROIC와 별개로, 1차 조사가 쓴 순현금 입력값이 재산출값과 크게 어긋난 기업이 5곳 있습니다. 순현금은 기업가치에서 주주가치로 넘어가는 과정에 그대로 더해지므로, 이 오차는 내재가치에 1:1로 반영됩니다.</w:t>
      </w:r>
    </w:p>
    <w:tbl>
      <w:tblPr>
        <w:tblW w:type="dxa" w:w="9360"/>
        <w:tblBorders>
          <w:top w:val="single" w:color="BFBFBF" w:sz="2"/>
          <w:left w:val="none"/>
          <w:bottom w:val="single" w:color="BFBFBF" w:sz="2"/>
          <w:right w:val="none"/>
          <w:insideH w:val="single" w:color="D9D9D9" w:sz="1"/>
          <w:insideV w:val="none"/>
        </w:tblBorders>
      </w:tblPr>
      <w:tblGrid>
        <w:gridCol w:w="1872"/>
        <w:gridCol w:w="1498"/>
        <w:gridCol w:w="1498"/>
        <w:gridCol w:w="1498"/>
        <w:gridCol w:w="1498"/>
        <w:gridCol w:w="1498"/>
      </w:tblGrid>
      <w:tr>
        <w:trPr>
          <w:tblHeader/>
        </w:trPr>
        <w:tc>
          <w:tcPr>
            <w:tcW w:type="dxa" w:w="187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기업</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티커</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1차 조사 순현금</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재산출</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오차</w:t>
            </w:r>
          </w:p>
        </w:tc>
        <w:tc>
          <w:tcPr>
            <w:tcW w:type="dxa" w:w="149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시가총액 대비</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오라클</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ORCL</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24.7</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-81.4</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106.1</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24.4%</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마이크로소프트</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MSFT</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36.5</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51.4</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-14.9</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-0.4%</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애플</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AAPL</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-36.0</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-44.0</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8.0</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0.2%</w:t>
            </w:r>
          </w:p>
        </w:tc>
      </w:tr>
      <w:tr>
        <w:tc>
          <w:tcPr>
            <w:tcW w:type="dxa" w:w="187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IBM</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IBM</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-47.7</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-54.1</w:t>
            </w:r>
          </w:p>
        </w:tc>
        <w:tc>
          <w:tcPr>
            <w:tcW w:type="dxa" w:w="149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6.4</w:t>
            </w:r>
          </w:p>
        </w:tc>
        <w:tc>
          <w:tcPr>
            <w:tcW w:type="dxa" w:w="149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2.9%</w:t>
            </w:r>
          </w:p>
        </w:tc>
      </w:tr>
      <w:tr>
        <w:tc>
          <w:tcPr>
            <w:tcW w:type="dxa" w:w="187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애브비</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ABBV</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-56.2</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-62.2</w:t>
            </w:r>
          </w:p>
        </w:tc>
        <w:tc>
          <w:tcPr>
            <w:tcW w:type="dxa" w:w="149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6.1</w:t>
            </w:r>
          </w:p>
        </w:tc>
        <w:tc>
          <w:tcPr>
            <w:tcW w:type="dxa" w:w="149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w:t>
            </w:r>
          </w:p>
        </w:tc>
      </w:tr>
    </w:tbl>
    <w:p>
      <w:pPr>
        <w:spacing w:after="200"/>
      </w:pPr>
    </w:p>
    <w:p>
      <w:pPr>
        <w:spacing w:after="140" w:line="288"/>
      </w:pPr>
      <w:r>
        <w:rPr>
          <w:rFonts w:ascii="Malgun Gothic" w:cs="Malgun Gothic" w:eastAsia="Malgun Gothic" w:hAnsi="Malgun Gothic"/>
          <w:sz w:val="19"/>
          <w:szCs w:val="19"/>
        </w:rPr>
        <w:t xml:space="preserve">오라클이 결정적입니다. 시가총액의 24%에 해당하는 오차이므로 1차 조사의 오라클 가치평가 결론은 신뢰할 수 없습니다. 다른 네 곳은 1% 안팎이라 결론을 바꾸기 어렵습니다. </w:t>
      </w:r>
      <w:r>
        <w:rPr>
          <w:rFonts w:ascii="Malgun Gothic" w:cs="Malgun Gothic" w:eastAsia="Malgun Gothic" w:hAnsi="Malgun Gothic"/>
          <w:b/>
          <w:bCs/>
          <w:sz w:val="19"/>
          <w:szCs w:val="19"/>
        </w:rPr>
        <w:t xml:space="preserve">가치평가 재계산은 정정이 아니라 새로운 분석이므로 이번 작업에서 하지 않았습니다</w:t>
      </w:r>
      <w:r>
        <w:rPr>
          <w:rFonts w:ascii="Malgun Gothic" w:cs="Malgun Gothic" w:eastAsia="Malgun Gothic" w:hAnsi="Malgun Gothic"/>
          <w:sz w:val="19"/>
          <w:szCs w:val="19"/>
        </w:rPr>
        <w:t xml:space="preserve"> — 필요하시면 오라클만 따로 다시 돌리겠습니다.</w:t>
      </w:r>
    </w:p>
    <w:p>
      <w:pPr>
        <w:pStyle w:val="Heading2"/>
        <w:spacing w:after="120" w:before="300"/>
      </w:pPr>
      <w:r>
        <w:rPr>
          <w:rFonts w:ascii="Malgun Gothic" w:cs="Malgun Gothic" w:eastAsia="Malgun Gothic" w:hAnsi="Malgun Gothic"/>
          <w:b/>
          <w:bCs/>
          <w:color w:val="1F3864"/>
          <w:sz w:val="23"/>
          <w:szCs w:val="23"/>
        </w:rPr>
        <w:t xml:space="preserve">11. 검증</w:t>
      </w:r>
    </w:p>
    <w:tbl>
      <w:tblPr>
        <w:tblW w:type="dxa" w:w="9360"/>
        <w:tblBorders>
          <w:top w:val="single" w:color="BFBFBF" w:sz="2"/>
          <w:left w:val="none"/>
          <w:bottom w:val="single" w:color="BFBFBF" w:sz="2"/>
          <w:right w:val="none"/>
          <w:insideH w:val="single" w:color="D9D9D9" w:sz="1"/>
          <w:insideV w:val="none"/>
        </w:tblBorders>
      </w:tblPr>
      <w:tblGrid>
        <w:gridCol w:w="2059"/>
        <w:gridCol w:w="5242"/>
        <w:gridCol w:w="2059"/>
      </w:tblGrid>
      <w:tr>
        <w:trPr>
          <w:tblHeader/>
        </w:trPr>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검증 방식</w:t>
            </w:r>
          </w:p>
        </w:tc>
        <w:tc>
          <w:tcPr>
            <w:tcW w:type="dxa" w:w="524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건수</w:t>
            </w:r>
          </w:p>
        </w:tc>
        <w:tc>
          <w:tcPr>
            <w:tcW w:type="dxa" w:w="205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무엇을 잡는지</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항등식</w:t>
            </w:r>
          </w:p>
        </w:tc>
        <w:tc>
          <w:tcPr>
            <w:tcW w:type="dxa" w:w="524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투하자본=자기자본+차입금−현금, NOPAT=영업이익×(1−세율), ROIC=NOPAT÷평균자본, 평균 산정 규칙</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트립와이어</w:t>
            </w:r>
          </w:p>
        </w:tc>
        <w:tc>
          <w:tcPr>
            <w:tcW w:type="dxa" w:w="524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차감 현금 ≤ 유동자산, 차입금 ≤ 총부채 및 총자산, 실효세율 5~40% 범위</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공시 앵커</w:t>
            </w:r>
          </w:p>
        </w:tc>
        <w:tc>
          <w:tcPr>
            <w:tcW w:type="dxa" w:w="524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공시 본문에서 손으로 읽은 수치와 대조. 자기참조가 아닌 유일한 검사</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합계</w:t>
            </w:r>
          </w:p>
        </w:tc>
        <w:tc>
          <w:tcPr>
            <w:tcW w:type="dxa" w:w="524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9,867</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전부 통과</w:t>
            </w:r>
          </w:p>
        </w:tc>
      </w:tr>
      <w:tr>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변이 검정</w:t>
            </w:r>
          </w:p>
        </w:tc>
        <w:tc>
          <w:tcPr>
            <w:tcW w:type="dxa" w:w="524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10/10</w:t>
            </w:r>
          </w:p>
        </w:tc>
        <w:tc>
          <w:tcPr>
            <w:tcW w:type="dxa" w:w="2059"/>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값을 고의로 훼손해 검사가 실제로 실패하는지 확인</w:t>
            </w:r>
          </w:p>
        </w:tc>
      </w:tr>
      <w:tr>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엑셀 수식 검증</w:t>
            </w:r>
          </w:p>
        </w:tc>
        <w:tc>
          <w:tcPr>
            <w:tcW w:type="dxa" w:w="524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5,494</w:t>
            </w:r>
          </w:p>
        </w:tc>
        <w:tc>
          <w:tcPr>
            <w:tcW w:type="dxa" w:w="2059"/>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워크북의 모든 파생 셀을 재평가해 산출 엔진 값과 대조</w:t>
            </w:r>
          </w:p>
        </w:tc>
      </w:tr>
    </w:tbl>
    <w:p>
      <w:pPr>
        <w:spacing w:after="200"/>
      </w:pPr>
    </w:p>
    <w:p>
      <w:pPr>
        <w:spacing w:after="140" w:line="288"/>
      </w:pPr>
      <w:r>
        <w:rPr>
          <w:rFonts w:ascii="Malgun Gothic" w:cs="Malgun Gothic" w:eastAsia="Malgun Gothic" w:hAnsi="Malgun Gothic"/>
          <w:sz w:val="19"/>
          <w:szCs w:val="19"/>
        </w:rPr>
        <w:t xml:space="preserve">앵커를 따로 두는 이유가 있습니다. 항등식과 트립와이어는 검사 대상과 같은 데이터로 계산되므로, </w:t>
      </w:r>
      <w:r>
        <w:rPr>
          <w:rFonts w:ascii="Malgun Gothic" w:cs="Malgun Gothic" w:eastAsia="Malgun Gothic" w:hAnsi="Malgun Gothic"/>
          <w:b/>
          <w:bCs/>
          <w:sz w:val="19"/>
          <w:szCs w:val="19"/>
        </w:rPr>
        <w:t xml:space="preserve">내부적으로 일관된 틀린 값은 둘 다 통과합니다.</w:t>
      </w:r>
      <w:r>
        <w:rPr>
          <w:rFonts w:ascii="Malgun Gothic" w:cs="Malgun Gothic" w:eastAsia="Malgun Gothic" w:hAnsi="Malgun Gothic"/>
          <w:sz w:val="19"/>
          <w:szCs w:val="19"/>
        </w:rPr>
        <w:t xml:space="preserve"> 공시 원문에서 직접 읽은 수치만이 산술이 아니라 데이터가 틀렸을 때 실패할 수 있습니다. 실제로 램리서치 현금 과다차감과 오라클 차입금 이중계상은 앵커가 잡았습니다.</w:t>
      </w:r>
    </w:p>
    <w:p>
      <w:pPr>
        <w:spacing w:after="140" w:line="288"/>
      </w:pPr>
      <w:r>
        <w:rPr>
          <w:rFonts w:ascii="Malgun Gothic" w:cs="Malgun Gothic" w:eastAsia="Malgun Gothic" w:hAnsi="Malgun Gothic"/>
          <w:sz w:val="19"/>
          <w:szCs w:val="19"/>
        </w:rPr>
        <w:t xml:space="preserve">앵커 자체가 틀린 적도 있습니다. 램리서치 FY2019의 유동 투자자산을 1,106백만 달러로 적었는데 실제 공시는 1,772.984백만 달러였습니다 — 기억으로 쓴 값이어서 틀렸고, 공시 데이터를 다시 확인해 고쳤습니다.</w:t>
      </w:r>
    </w:p>
    <w:p>
      <w:pPr>
        <w:pStyle w:val="Heading2"/>
        <w:spacing w:after="120" w:before="300"/>
      </w:pPr>
      <w:r>
        <w:rPr>
          <w:rFonts w:ascii="Malgun Gothic" w:cs="Malgun Gothic" w:eastAsia="Malgun Gothic" w:hAnsi="Malgun Gothic"/>
          <w:b/>
          <w:bCs/>
          <w:color w:val="1F3864"/>
          <w:sz w:val="23"/>
          <w:szCs w:val="23"/>
        </w:rPr>
        <w:t xml:space="preserve">12. 남은 한계</w:t>
      </w:r>
    </w:p>
    <w:p>
      <w:pPr>
        <w:pStyle w:val="ListParagraph"/>
        <w:numPr>
          <w:ilvl w:val="0"/>
          <w:numId w:val="2"/>
        </w:numPr>
        <w:spacing w:after="120" w:line="284"/>
      </w:pPr>
      <w:r>
        <w:rPr>
          <w:rFonts w:ascii="Malgun Gothic" w:cs="Malgun Gothic" w:eastAsia="Malgun Gothic" w:hAnsi="Malgun Gothic"/>
          <w:b/>
          <w:bCs/>
          <w:sz w:val="19"/>
          <w:szCs w:val="19"/>
        </w:rPr>
        <w:t xml:space="preserve">분자 추정 137개 연도.</w:t>
      </w:r>
      <w:r>
        <w:rPr>
          <w:rFonts w:ascii="Malgun Gothic" w:cs="Malgun Gothic" w:eastAsia="Malgun Gothic" w:hAnsi="Malgun Gothic"/>
          <w:sz w:val="19"/>
          <w:szCs w:val="19"/>
        </w:rPr>
        <w:t xml:space="preserve"> 영업이익 소계를 보고하지 않는 8개 기업은 세전이익에서 거꾸로 추정했습니다. 문턱 판정은 97% 정확하지만 ROIC 수준은 90분위에서 4~5%p 틀릴 수 있습니다. 일라이 릴리(LLY)·존슨앤드존슨(JNJ)·IBM·KLA(KLAC)·셰브론(CVX)은 두 추정 방식의 판정이 모두 일치했고, 머크(MRK) FY2020 한 해만 불일치입니다.</w:t>
      </w:r>
    </w:p>
    <w:p>
      <w:pPr>
        <w:pStyle w:val="ListParagraph"/>
        <w:numPr>
          <w:ilvl w:val="0"/>
          <w:numId w:val="2"/>
        </w:numPr>
        <w:spacing w:after="120" w:line="284"/>
      </w:pPr>
      <w:r>
        <w:rPr>
          <w:rFonts w:ascii="Malgun Gothic" w:cs="Malgun Gothic" w:eastAsia="Malgun Gothic" w:hAnsi="Malgun Gothic"/>
          <w:b/>
          <w:bCs/>
          <w:sz w:val="19"/>
          <w:szCs w:val="19"/>
        </w:rPr>
        <w:t xml:space="preserve">자기자본 정의.</w:t>
      </w:r>
      <w:r>
        <w:rPr>
          <w:rFonts w:ascii="Malgun Gothic" w:cs="Malgun Gothic" w:eastAsia="Malgun Gothic" w:hAnsi="Malgun Gothic"/>
          <w:sz w:val="19"/>
          <w:szCs w:val="19"/>
        </w:rPr>
        <w:t xml:space="preserve"> 분자가 연결 영업이익이므로 분모도 비지배지분을 포함했습니다. 1차 조사는 지배주주 지분만 썼고, 96개 기업-연도에서 차이가 납니다. 대부분 1~5% 수준이지만 정의가 다른 것이지 오류는 아닙니다.</w:t>
      </w:r>
    </w:p>
    <w:p>
      <w:pPr>
        <w:pStyle w:val="ListParagraph"/>
        <w:numPr>
          <w:ilvl w:val="0"/>
          <w:numId w:val="2"/>
        </w:numPr>
        <w:spacing w:after="120" w:line="284"/>
      </w:pPr>
      <w:r>
        <w:rPr>
          <w:rFonts w:ascii="Malgun Gothic" w:cs="Malgun Gothic" w:eastAsia="Malgun Gothic" w:hAnsi="Malgun Gothic"/>
          <w:b/>
          <w:bCs/>
          <w:sz w:val="19"/>
          <w:szCs w:val="19"/>
        </w:rPr>
        <w:t xml:space="preserve">장기 유가증권은 자본에 남겼습니다.</w:t>
      </w:r>
      <w:r>
        <w:rPr>
          <w:rFonts w:ascii="Malgun Gothic" w:cs="Malgun Gothic" w:eastAsia="Malgun Gothic" w:hAnsi="Malgun Gothic"/>
          <w:sz w:val="19"/>
          <w:szCs w:val="19"/>
        </w:rPr>
        <w:t xml:space="preserve"> 비유동 투자자산을 빼지 않았으므로 분모가 보수적으로(크게) 잡혔고, ROIC는 그만큼 낮게 나옵니다.</w:t>
      </w:r>
    </w:p>
    <w:p>
      <w:pPr>
        <w:pStyle w:val="ListParagraph"/>
        <w:numPr>
          <w:ilvl w:val="0"/>
          <w:numId w:val="2"/>
        </w:numPr>
        <w:spacing w:after="120" w:line="284"/>
      </w:pPr>
      <w:r>
        <w:rPr>
          <w:rFonts w:ascii="Malgun Gothic" w:cs="Malgun Gothic" w:eastAsia="Malgun Gothic" w:hAnsi="Malgun Gothic"/>
          <w:b/>
          <w:bCs/>
          <w:sz w:val="19"/>
          <w:szCs w:val="19"/>
        </w:rPr>
        <w:t xml:space="preserve">WACC 10%는 지시에 따른 고정값입니다.</w:t>
      </w:r>
      <w:r>
        <w:rPr>
          <w:rFonts w:ascii="Malgun Gothic" w:cs="Malgun Gothic" w:eastAsia="Malgun Gothic" w:hAnsi="Malgun Gothic"/>
          <w:sz w:val="19"/>
          <w:szCs w:val="19"/>
        </w:rPr>
        <w:t xml:space="preserve"> 실제 자본비용은 기업마다 다르고, 2016~2025년 사이 금리 환경도 크게 달라졌습니다. 같은 문턱을 쓴 것은 ROIC를 서로 비교하기 위한 선택입니다.</w:t>
      </w:r>
    </w:p>
    <w:p>
      <w:pPr>
        <w:pStyle w:val="ListParagraph"/>
        <w:numPr>
          <w:ilvl w:val="0"/>
          <w:numId w:val="2"/>
        </w:numPr>
        <w:spacing w:after="120" w:line="284"/>
      </w:pPr>
      <w:r>
        <w:rPr>
          <w:rFonts w:ascii="Malgun Gothic" w:cs="Malgun Gothic" w:eastAsia="Malgun Gothic" w:hAnsi="Malgun Gothic"/>
          <w:b/>
          <w:bCs/>
          <w:sz w:val="19"/>
          <w:szCs w:val="19"/>
        </w:rPr>
        <w:t xml:space="preserve">ROIC가 높다는 것과 투자 대상이라는 것은 다릅니다.</w:t>
      </w:r>
      <w:r>
        <w:rPr>
          <w:rFonts w:ascii="Malgun Gothic" w:cs="Malgun Gothic" w:eastAsia="Malgun Gothic" w:hAnsi="Malgun Gothic"/>
          <w:sz w:val="19"/>
          <w:szCs w:val="19"/>
        </w:rPr>
        <w:t xml:space="preserve"> 가격이 빠져 있습니다. 1차 조사의 가치평가는 오라클을 제외하면 이번 정정으로 결론이 바뀌지 않지만, ROIC 순위가 곧 매수 순위는 아닙니다.</w:t>
      </w:r>
    </w:p>
    <w:p>
      <w:pPr>
        <w:pStyle w:val="Heading2"/>
        <w:spacing w:after="120" w:before="300"/>
      </w:pPr>
      <w:r>
        <w:rPr>
          <w:rFonts w:ascii="Malgun Gothic" w:cs="Malgun Gothic" w:eastAsia="Malgun Gothic" w:hAnsi="Malgun Gothic"/>
          <w:b/>
          <w:bCs/>
          <w:color w:val="1F3864"/>
          <w:sz w:val="23"/>
          <w:szCs w:val="23"/>
        </w:rPr>
        <w:t xml:space="preserve">13. 재현 방법</w:t>
      </w:r>
    </w:p>
    <w:p>
      <w:pPr>
        <w:spacing w:after="140" w:line="288"/>
      </w:pPr>
      <w:r>
        <w:rPr>
          <w:rFonts w:ascii="Malgun Gothic" w:cs="Malgun Gothic" w:eastAsia="Malgun Gothic" w:hAnsi="Malgun Gothic"/>
          <w:sz w:val="19"/>
          <w:szCs w:val="19"/>
        </w:rPr>
        <w:t xml:space="preserve">`bash work/run_roic.sh` 한 번으로 수집부터 워드·엑셀 작성까지 전부 다시 돌아갑니다. 순서에 한 곳 의존성이 있습니다: 대조와 원인 규명은 1차 조사 원본을 읽어야 하므로 정정 적용보다 먼저 실행되어야 하고, 스크립트가 백업에서 원본을 복원한 뒤 시작합니다.</w:t>
      </w:r>
    </w:p>
    <w:tbl>
      <w:tblPr>
        <w:tblW w:type="dxa" w:w="9360"/>
        <w:tblBorders>
          <w:top w:val="single" w:color="BFBFBF" w:sz="2"/>
          <w:left w:val="none"/>
          <w:bottom w:val="single" w:color="BFBFBF" w:sz="2"/>
          <w:right w:val="none"/>
          <w:insideH w:val="single" w:color="D9D9D9" w:sz="1"/>
          <w:insideV w:val="none"/>
        </w:tblBorders>
      </w:tblPr>
      <w:tblGrid>
        <w:gridCol w:w="2434"/>
        <w:gridCol w:w="6926"/>
      </w:tblGrid>
      <w:tr>
        <w:trPr>
          <w:tblHeader/>
        </w:trPr>
        <w:tc>
          <w:tcPr>
            <w:tcW w:type="dxa" w:w="243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파일</w:t>
            </w:r>
          </w:p>
        </w:tc>
        <w:tc>
          <w:tcPr>
            <w:tcW w:type="dxa" w:w="692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역할</w:t>
            </w:r>
          </w:p>
        </w:tc>
      </w:tr>
      <w:tr>
        <w:tc>
          <w:tcPr>
            <w:tcW w:type="dxa" w:w="243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collect_roic.py</w:t>
            </w:r>
          </w:p>
        </w:tc>
        <w:tc>
          <w:tcPr>
            <w:tcW w:type="dxa" w:w="692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companyfacts에서 50개사 재무 태그 수집</w:t>
            </w:r>
          </w:p>
        </w:tc>
      </w:tr>
      <w:tr>
        <w:tc>
          <w:tcPr>
            <w:tcW w:type="dxa" w:w="243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test_oi_routes.py</w:t>
            </w:r>
          </w:p>
        </w:tc>
        <w:tc>
          <w:tcPr>
            <w:tcW w:type="dxa" w:w="692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분자 구성 경로의 정확도·판정 뒤집힘 측정</w:t>
            </w:r>
          </w:p>
        </w:tc>
      </w:tr>
      <w:tr>
        <w:tc>
          <w:tcPr>
            <w:tcW w:type="dxa" w:w="243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analyse_roic.py</w:t>
            </w:r>
          </w:p>
        </w:tc>
        <w:tc>
          <w:tcPr>
            <w:tcW w:type="dxa" w:w="692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산출 (정의·경로 선택·역검증)</w:t>
            </w:r>
          </w:p>
        </w:tc>
      </w:tr>
      <w:tr>
        <w:tc>
          <w:tcPr>
            <w:tcW w:type="dxa" w:w="243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verify_roic.py</w:t>
            </w:r>
          </w:p>
        </w:tc>
        <w:tc>
          <w:tcPr>
            <w:tcW w:type="dxa" w:w="692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항등식·트립와이어·앵커 + 변이 검정</w:t>
            </w:r>
          </w:p>
        </w:tc>
      </w:tr>
      <w:tr>
        <w:tc>
          <w:tcPr>
            <w:tcW w:type="dxa" w:w="243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reconcile_roic.py</w:t>
            </w:r>
          </w:p>
        </w:tc>
        <w:tc>
          <w:tcPr>
            <w:tcW w:type="dxa" w:w="692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1차 조사와 기업-연도별 대조</w:t>
            </w:r>
          </w:p>
        </w:tc>
      </w:tr>
      <w:tr>
        <w:tc>
          <w:tcPr>
            <w:tcW w:type="dxa" w:w="243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diagnose_capital.py</w:t>
            </w:r>
          </w:p>
        </w:tc>
        <w:tc>
          <w:tcPr>
            <w:tcW w:type="dxa" w:w="692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투하자본 차이의 원인 규명</w:t>
            </w:r>
          </w:p>
        </w:tc>
      </w:tr>
      <w:tr>
        <w:tc>
          <w:tcPr>
            <w:tcW w:type="dxa" w:w="243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apply_corrections.py</w:t>
            </w:r>
          </w:p>
        </w:tc>
        <w:tc>
          <w:tcPr>
            <w:tcW w:type="dxa" w:w="692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1차 조사 정정 및 원본 백업</w:t>
            </w:r>
          </w:p>
        </w:tc>
      </w:tr>
      <w:tr>
        <w:tc>
          <w:tcPr>
            <w:tcW w:type="dxa" w:w="243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export_roic_xlsx.py</w:t>
            </w:r>
          </w:p>
        </w:tc>
        <w:tc>
          <w:tcPr>
            <w:tcW w:type="dxa" w:w="692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엑셀 (전 파생 셀이 수식)</w:t>
            </w:r>
          </w:p>
        </w:tc>
      </w:tr>
      <w:tr>
        <w:tc>
          <w:tcPr>
            <w:tcW w:type="dxa" w:w="243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verify_roic_exports.py</w:t>
            </w:r>
          </w:p>
        </w:tc>
        <w:tc>
          <w:tcPr>
            <w:tcW w:type="dxa" w:w="692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엑셀 수식 5,494건 재평가 검증</w:t>
            </w:r>
          </w:p>
        </w:tc>
      </w:tr>
    </w:tbl>
    <w:p>
      <w:pPr>
        <w:spacing w:after="200"/>
      </w:pPr>
    </w:p>
    <w:sectPr>
      <w:pgSz w:w="12240" w:h="15840" w:orient="portrait"/>
      <w:pgMar w:top="1152" w:right="1080" w:bottom="115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2026-10-29T12:05:41.635Z</dcterms:created>
  <dcterms:modified xsi:type="dcterms:W3CDTF">2026-10-29T12:05:41.636Z</dcterms:modified>
</cp:coreProperties>
</file>

<file path=docProps/custom.xml><?xml version="1.0" encoding="utf-8"?>
<Properties xmlns="http://schemas.openxmlformats.org/officeDocument/2006/custom-properties" xmlns:vt="http://schemas.openxmlformats.org/officeDocument/2006/docPropsVTypes"/>
</file>