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rFonts w:ascii="Malgun Gothic" w:cs="Malgun Gothic" w:eastAsia="Malgun Gothic" w:hAnsi="Malgun Gothic"/>
          <w:b/>
          <w:bCs/>
          <w:color w:val="1F3864"/>
          <w:sz w:val="36"/>
          <w:szCs w:val="36"/>
        </w:rPr>
        <w:t xml:space="preserve">스페이스X · 테슬라 기업분석</w:t>
      </w:r>
    </w:p>
    <w:p>
      <w:pPr>
        <w:pBdr>
          <w:bottom w:val="single" w:color="1F3864" w:sz="8" w:space="8"/>
        </w:pBdr>
        <w:spacing w:after="320"/>
      </w:pPr>
      <w:r>
        <w:rPr>
          <w:rFonts w:ascii="Malgun Gothic" w:cs="Malgun Gothic" w:eastAsia="Malgun Gothic" w:hAnsi="Malgun Gothic"/>
          <w:color w:val="595959"/>
          <w:sz w:val="18"/>
          <w:szCs w:val="18"/>
        </w:rPr>
        <w:t xml:space="preserve">메모 5건 회신 · 버핏 기준 정립 · 알파벳 가치와 주가 평가 · 생성 undefined</w:t>
      </w:r>
    </w:p>
    <w:p>
      <w:pPr>
        <w:pStyle w:val="Heading1"/>
        <w:spacing w:after="160" w:before="400"/>
      </w:pPr>
      <w:r>
        <w:rPr>
          <w:rFonts w:ascii="Malgun Gothic" w:cs="Malgun Gothic" w:eastAsia="Malgun Gothic" w:hAnsi="Malgun Gothic"/>
          <w:b/>
          <w:bCs/>
          <w:color w:val="1F3864"/>
          <w:sz w:val="28"/>
          <w:szCs w:val="28"/>
        </w:rPr>
        <w:t xml:space="preserve">스페이스X · 테슬라 기업분석</w:t>
      </w:r>
    </w:p>
    <w:p>
      <w:pPr>
        <w:pBdr>
          <w:left w:val="single" w:color="BFBFBF" w:sz="12" w:space="10"/>
        </w:pBdr>
        <w:spacing w:after="180" w:before="100" w:line="264"/>
        <w:ind w:left="200"/>
      </w:pPr>
      <w:r>
        <w:rPr>
          <w:rFonts w:ascii="Malgun Gothic" w:cs="Malgun Gothic" w:eastAsia="Malgun Gothic" w:hAnsi="Malgun Gothic"/>
          <w:color w:val="595959"/>
          <w:sz w:val="17"/>
          <w:szCs w:val="17"/>
        </w:rPr>
        <w:t xml:space="preserve">자료 SEC 공시 (SPCX 10-Q 2026-09-30 기말, 424B4 2026-06-12 · TSLA 10-K FY2025, 10-Q 2026-09-30 기말) · 주가 2026-10-29 종가 · WACC 10% 고정 · 작성 2026-10-29 · 검증 124건 통과, 변이 11/11 탐지</w:t>
      </w:r>
    </w:p>
    <w:p>
      <w:pPr>
        <w:pStyle w:val="Heading2"/>
        <w:spacing w:after="120" w:before="300"/>
      </w:pPr>
      <w:r>
        <w:rPr>
          <w:rFonts w:ascii="Malgun Gothic" w:cs="Malgun Gothic" w:eastAsia="Malgun Gothic" w:hAnsi="Malgun Gothic"/>
          <w:b/>
          <w:bCs/>
          <w:color w:val="1F3864"/>
          <w:sz w:val="23"/>
          <w:szCs w:val="23"/>
        </w:rPr>
        <w:t xml:space="preserve">요약</w:t>
      </w:r>
    </w:p>
    <w:p>
      <w:pPr>
        <w:spacing w:after="140" w:line="288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먼저 정정합니다. 스페이스X는 비상장이 아닙니다.</w:t>
      </w:r>
      <w:r>
        <w:rPr>
          <w:rFonts w:ascii="Malgun Gothic" w:cs="Malgun Gothic" w:eastAsia="Malgun Gothic" w:hAnsi="Malgun Gothic"/>
          <w:sz w:val="19"/>
          <w:szCs w:val="19"/>
        </w:rPr>
        <w:t xml:space="preserve"> 제가 기억으로 비상장이라고 단정했는데, EDGAR를 조회하니 2026년 6월 나스닥에 상장(티커 SPCX, 424B4 6월 12일, Class A 6억 3,890만주 × $135.00)했고 10-Q가 두 건 제출돼 있습니다. 조회가 먼저였으면 생기지 않을 오류였습니다.</w:t>
      </w:r>
    </w:p>
    <w:p>
      <w:pPr>
        <w:spacing w:after="140" w:line="288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그리고 SPCX는 발사체 회사가 아닙니다.</w:t>
      </w:r>
      <w:r>
        <w:rPr>
          <w:rFonts w:ascii="Malgun Gothic" w:cs="Malgun Gothic" w:eastAsia="Malgun Gothic" w:hAnsi="Malgun Gothic"/>
          <w:sz w:val="19"/>
          <w:szCs w:val="19"/>
        </w:rPr>
        <w:t xml:space="preserve"> 10-Q 주석 1은 세 개 사업부를 설명합니다 — Space(발사체), Connectivity(스타링크), 그리고 Super Intelligence(SI 인프라 + Grok + Cursor + X). Cursor(Anysphere)는 2026년 8월 14일 지분가치 $60bn 기준 주식 $42,723m으로 인수했습니다. 영업권이 투하자본의 39%입니다.</w:t>
      </w:r>
    </w:p>
    <w:p>
      <w:pPr>
        <w:spacing w:after="140" w:line="288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두 회사 모두 ROIC가 자본비용 10%에 미달합니다.</w:t>
      </w:r>
      <w:r>
        <w:rPr>
          <w:rFonts w:ascii="Malgun Gothic" w:cs="Malgun Gothic" w:eastAsia="Malgun Gothic" w:hAnsi="Malgun Gothic"/>
          <w:sz w:val="19"/>
          <w:szCs w:val="19"/>
        </w:rPr>
        <w:t xml:space="preserve"> 스페이스X는 가장 관대한 관점(영업권·건설중자산 제외)에서도 2.2%, 테슬라는 FY2025 7.2%입니다. 테슬라의 10년 중위는 9.9%로 문턱 근처이고, 문턱을 넘긴 해는 5/10년입니다.</w:t>
      </w:r>
    </w:p>
    <w:p>
      <w:pPr>
        <w:spacing w:after="140" w:line="288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다만 스페이스X에는 사업부별로 전혀 다른 이야기가 숨어 있습니다.</w:t>
      </w:r>
      <w:r>
        <w:rPr>
          <w:rFonts w:ascii="Malgun Gothic" w:cs="Malgun Gothic" w:eastAsia="Malgun Gothic" w:hAnsi="Malgun Gothic"/>
          <w:sz w:val="19"/>
          <w:szCs w:val="19"/>
        </w:rPr>
        <w:t xml:space="preserve"> 9개월 기준 스타링크는 매출 12,796백만 달러에 영업이익 5,211백만 달러(마진 41%)로, 자기 capex 4,242백만 달러를 스스로 대고도 남습니다. SI 사업부는 영업적자 -3,295백만 달러에 capex 39,995백만 달러 — 자기 매출의 3.7배이고 그룹 전체 capex의 83%입니다.</w:t>
      </w:r>
    </w:p>
    <w:p>
      <w:pPr>
        <w:spacing w:after="140" w:line="288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가장 중요한 한계를 먼저 말씀드립니다. 스페이스X에는 버핏 기준의 핵심인 10년 일관성 검정을 적용할 수 없습니다.</w:t>
      </w:r>
      <w:r>
        <w:rPr>
          <w:rFonts w:ascii="Malgun Gothic" w:cs="Malgun Gothic" w:eastAsia="Malgun Gothic" w:hAnsi="Malgun Gothic"/>
          <w:sz w:val="19"/>
          <w:szCs w:val="19"/>
        </w:rPr>
        <w:t xml:space="preserve"> 10-K가 아직 없고, 감사된 연간 수치는 등록신고서의 3개 회계연도(FY2023~FY2025)뿐입니다. 그 3년 중 영업이익 흑자는 FY2024 한 해($466m, 마진 3.3%)입니다. 이건 자료를 더 찾아서 해결되는 문제가 아니라, 회사가 아직 그만큼의 공개 이력을 갖고 있지 않다는 사실입니다.</w:t>
      </w:r>
    </w:p>
    <w:p>
      <w:pPr>
        <w:pStyle w:val="Heading2"/>
        <w:spacing w:after="120" w:before="300"/>
      </w:pPr>
      <w:r>
        <w:rPr>
          <w:rFonts w:ascii="Malgun Gothic" w:cs="Malgun Gothic" w:eastAsia="Malgun Gothic" w:hAnsi="Malgun Gothic"/>
          <w:b/>
          <w:bCs/>
          <w:color w:val="1F3864"/>
          <w:sz w:val="23"/>
          <w:szCs w:val="23"/>
        </w:rPr>
        <w:t xml:space="preserve">1. 사실관계 — 조회로 확정한 것</w:t>
      </w:r>
    </w:p>
    <w:tbl>
      <w:tblPr>
        <w:tblW w:type="dxa" w:w="9360"/>
        <w:tblBorders>
          <w:top w:val="single" w:color="BFBFBF" w:sz="2"/>
          <w:left w:val="none"/>
          <w:bottom w:val="single" w:color="BFBFBF" w:sz="2"/>
          <w:right w:val="none"/>
          <w:insideH w:val="single" w:color="D9D9D9" w:sz="1"/>
          <w:insideV w:val="none"/>
        </w:tblBorders>
      </w:tblPr>
      <w:tblGrid>
        <w:gridCol w:w="1872"/>
        <w:gridCol w:w="3744"/>
        <w:gridCol w:w="3744"/>
      </w:tblGrid>
      <w:tr>
        <w:trPr>
          <w:tblHeader/>
        </w:trPr>
        <w:tc>
          <w:tcPr>
            <w:tcW w:type="dxa" w:w="1872"/>
            <w:shd w:fill="1F386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6"/>
                <w:szCs w:val="16"/>
              </w:rPr>
              <w:t xml:space="preserve">항목</w:t>
            </w:r>
          </w:p>
        </w:tc>
        <w:tc>
          <w:tcPr>
            <w:tcW w:type="dxa" w:w="3744"/>
            <w:shd w:fill="1F386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6"/>
                <w:szCs w:val="16"/>
              </w:rPr>
              <w:t xml:space="preserve">스페이스X (SPCX)</w:t>
            </w:r>
          </w:p>
        </w:tc>
        <w:tc>
          <w:tcPr>
            <w:tcW w:type="dxa" w:w="3744"/>
            <w:shd w:fill="1F386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6"/>
                <w:szCs w:val="16"/>
              </w:rPr>
              <w:t xml:space="preserve">테슬라 (TSLA)</w:t>
            </w:r>
          </w:p>
        </w:tc>
      </w:tr>
      <w:tr>
        <w:tc>
          <w:tcPr>
            <w:tcW w:type="dxa" w:w="18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CIK</w:t>
            </w:r>
          </w:p>
        </w:tc>
        <w:tc>
          <w:tcPr>
            <w:tcW w:type="dxa" w:w="374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1181412</w:t>
            </w:r>
          </w:p>
        </w:tc>
        <w:tc>
          <w:tcPr>
            <w:tcW w:type="dxa" w:w="374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1318605</w:t>
            </w:r>
          </w:p>
        </w:tc>
      </w:tr>
      <w:tr>
        <w:tc>
          <w:tcPr>
            <w:tcW w:type="dxa" w:w="1872"/>
            <w:shd w:fill="F2F4F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거래소·티커</w:t>
            </w:r>
          </w:p>
        </w:tc>
        <w:tc>
          <w:tcPr>
            <w:tcW w:type="dxa" w:w="3744"/>
            <w:shd w:fill="F2F4F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나스닥 SPCX</w:t>
            </w:r>
          </w:p>
        </w:tc>
        <w:tc>
          <w:tcPr>
            <w:tcW w:type="dxa" w:w="3744"/>
            <w:shd w:fill="F2F4F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나스닥 TSLA</w:t>
            </w:r>
          </w:p>
        </w:tc>
      </w:tr>
      <w:tr>
        <w:tc>
          <w:tcPr>
            <w:tcW w:type="dxa" w:w="18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상장</w:t>
            </w:r>
          </w:p>
        </w:tc>
        <w:tc>
          <w:tcPr>
            <w:tcW w:type="dxa" w:w="374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2026년 6월 (424B4 6/12)</w:t>
            </w:r>
          </w:p>
        </w:tc>
        <w:tc>
          <w:tcPr>
            <w:tcW w:type="dxa" w:w="374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2010년 6월</w:t>
            </w:r>
          </w:p>
        </w:tc>
      </w:tr>
      <w:tr>
        <w:tc>
          <w:tcPr>
            <w:tcW w:type="dxa" w:w="1872"/>
            <w:shd w:fill="F2F4F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SIC</w:t>
            </w:r>
          </w:p>
        </w:tc>
        <w:tc>
          <w:tcPr>
            <w:tcW w:type="dxa" w:w="3744"/>
            <w:shd w:fill="F2F4F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7370 Services-Computer Programming, Data Processing, Etc.</w:t>
            </w:r>
          </w:p>
        </w:tc>
        <w:tc>
          <w:tcPr>
            <w:tcW w:type="dxa" w:w="3744"/>
            <w:shd w:fill="F2F4F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3711 Motor Vehicles &amp; Passenger Car Bodies</w:t>
            </w:r>
          </w:p>
        </w:tc>
      </w:tr>
      <w:tr>
        <w:tc>
          <w:tcPr>
            <w:tcW w:type="dxa" w:w="18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결산월</w:t>
            </w:r>
          </w:p>
        </w:tc>
        <w:tc>
          <w:tcPr>
            <w:tcW w:type="dxa" w:w="374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12월</w:t>
            </w:r>
          </w:p>
        </w:tc>
        <w:tc>
          <w:tcPr>
            <w:tcW w:type="dxa" w:w="374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12월</w:t>
            </w:r>
          </w:p>
        </w:tc>
      </w:tr>
      <w:tr>
        <w:tc>
          <w:tcPr>
            <w:tcW w:type="dxa" w:w="1872"/>
            <w:shd w:fill="F2F4F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10-K</w:t>
            </w:r>
          </w:p>
        </w:tc>
        <w:tc>
          <w:tcPr>
            <w:tcW w:type="dxa" w:w="3744"/>
            <w:shd w:fill="F2F4F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없음</w:t>
            </w: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 (첫 10-K는 2027년 초 예상)</w:t>
            </w:r>
          </w:p>
        </w:tc>
        <w:tc>
          <w:tcPr>
            <w:tcW w:type="dxa" w:w="3744"/>
            <w:shd w:fill="F2F4F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FY2025분 2026-01-29 제출</w:t>
            </w:r>
          </w:p>
        </w:tc>
      </w:tr>
      <w:tr>
        <w:tc>
          <w:tcPr>
            <w:tcW w:type="dxa" w:w="18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최신 10-Q</w:t>
            </w:r>
          </w:p>
        </w:tc>
        <w:tc>
          <w:tcPr>
            <w:tcW w:type="dxa" w:w="374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2026-09-30 기말 (10-22 제출)</w:t>
            </w:r>
          </w:p>
        </w:tc>
        <w:tc>
          <w:tcPr>
            <w:tcW w:type="dxa" w:w="374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2026-09-30 기말 (10-22 제출)</w:t>
            </w:r>
          </w:p>
        </w:tc>
      </w:tr>
      <w:tr>
        <w:tc>
          <w:tcPr>
            <w:tcW w:type="dxa" w:w="1872"/>
            <w:shd w:fill="F2F4F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연간 감사수치 출처</w:t>
            </w:r>
          </w:p>
        </w:tc>
        <w:tc>
          <w:tcPr>
            <w:tcW w:type="dxa" w:w="3744"/>
            <w:shd w:fill="F2F4F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등록신고서 424B4 (FY2023~FY2025)</w:t>
            </w:r>
          </w:p>
        </w:tc>
        <w:tc>
          <w:tcPr>
            <w:tcW w:type="dxa" w:w="3744"/>
            <w:shd w:fill="F2F4F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10-K (FY2016~FY2025)</w:t>
            </w:r>
          </w:p>
        </w:tc>
      </w:tr>
      <w:tr>
        <w:tc>
          <w:tcPr>
            <w:tcW w:type="dxa" w:w="18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사업부</w:t>
            </w:r>
          </w:p>
        </w:tc>
        <w:tc>
          <w:tcPr>
            <w:tcW w:type="dxa" w:w="374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Space · Connectivity · Super Intelligence</w:t>
            </w:r>
          </w:p>
        </w:tc>
        <w:tc>
          <w:tcPr>
            <w:tcW w:type="dxa" w:w="374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단일 보고부문</w:t>
            </w:r>
          </w:p>
        </w:tc>
      </w:tr>
    </w:tbl>
    <w:p>
      <w:pPr>
        <w:spacing w:after="200"/>
      </w:pPr>
    </w:p>
    <w:p>
      <w:pPr>
        <w:spacing w:after="140" w:line="288"/>
      </w:pPr>
      <w:r>
        <w:rPr>
          <w:rFonts w:ascii="Malgun Gothic" w:cs="Malgun Gothic" w:eastAsia="Malgun Gothic" w:hAnsi="Malgun Gothic"/>
          <w:sz w:val="19"/>
          <w:szCs w:val="19"/>
        </w:rPr>
        <w:t xml:space="preserve">스페이스X의 companyfacts API에는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연간 기간이 하나도 없습니다</w:t>
      </w:r>
      <w:r>
        <w:rPr>
          <w:rFonts w:ascii="Malgun Gothic" w:cs="Malgun Gothic" w:eastAsia="Malgun Gothic" w:hAnsi="Malgun Gothic"/>
          <w:sz w:val="19"/>
          <w:szCs w:val="19"/>
        </w:rPr>
        <w:t xml:space="preserve"> — 10-Q의 분기·누적 자료만 있습니다. 그래서 연간 수치는 1,167만 자(11MB) 분량의 424B4 본문에서 표를 찾아 읽었습니다. 표 번호는 개정판마다 바뀌므로 위치가 아니라 내용으로 찾도록 했습니다.</w:t>
      </w:r>
    </w:p>
    <w:p>
      <w:pPr>
        <w:pStyle w:val="Heading2"/>
        <w:spacing w:after="120" w:before="300"/>
      </w:pPr>
      <w:r>
        <w:rPr>
          <w:rFonts w:ascii="Malgun Gothic" w:cs="Malgun Gothic" w:eastAsia="Malgun Gothic" w:hAnsi="Malgun Gothic"/>
          <w:b/>
          <w:bCs/>
          <w:color w:val="1F3864"/>
          <w:sz w:val="23"/>
          <w:szCs w:val="23"/>
        </w:rPr>
        <w:t xml:space="preserve">2. 스페이스X — 사업부가 말해주는 것</w:t>
      </w:r>
    </w:p>
    <w:p>
      <w:pPr>
        <w:spacing w:after="140" w:line="288"/>
      </w:pPr>
      <w:r>
        <w:rPr>
          <w:rFonts w:ascii="Malgun Gothic" w:cs="Malgun Gothic" w:eastAsia="Malgun Gothic" w:hAnsi="Malgun Gothic"/>
          <w:sz w:val="19"/>
          <w:szCs w:val="19"/>
        </w:rPr>
        <w:t xml:space="preserve">연결 영업이익률 3%는 이 회사를 거의 설명하지 못합니다. 세 사업부의 경제성이 완전히 다르고, 공시는 사업부별 매출· 영업이익·capex를 모두 제공합니다.</w:t>
      </w:r>
    </w:p>
    <w:tbl>
      <w:tblPr>
        <w:tblW w:type="dxa" w:w="9360"/>
        <w:tblBorders>
          <w:top w:val="single" w:color="BFBFBF" w:sz="2"/>
          <w:left w:val="none"/>
          <w:bottom w:val="single" w:color="BFBFBF" w:sz="2"/>
          <w:right w:val="none"/>
          <w:insideH w:val="single" w:color="D9D9D9" w:sz="1"/>
          <w:insideV w:val="none"/>
        </w:tblBorders>
      </w:tblPr>
      <w:tblGrid>
        <w:gridCol w:w="2246"/>
        <w:gridCol w:w="1423"/>
        <w:gridCol w:w="1423"/>
        <w:gridCol w:w="1423"/>
        <w:gridCol w:w="1423"/>
        <w:gridCol w:w="1423"/>
      </w:tblGrid>
      <w:tr>
        <w:trPr>
          <w:tblHeader/>
        </w:trPr>
        <w:tc>
          <w:tcPr>
            <w:tcW w:type="dxa" w:w="2246"/>
            <w:shd w:fill="1F386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6"/>
                <w:szCs w:val="16"/>
              </w:rPr>
              <w:t xml:space="preserve">사업부</w:t>
            </w:r>
          </w:p>
        </w:tc>
        <w:tc>
          <w:tcPr>
            <w:tcW w:type="dxa" w:w="1423"/>
            <w:shd w:fill="1F386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6"/>
                <w:szCs w:val="16"/>
              </w:rPr>
              <w:t xml:space="preserve">매출</w:t>
            </w:r>
          </w:p>
        </w:tc>
        <w:tc>
          <w:tcPr>
            <w:tcW w:type="dxa" w:w="1423"/>
            <w:shd w:fill="1F386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6"/>
                <w:szCs w:val="16"/>
              </w:rPr>
              <w:t xml:space="preserve">영업이익</w:t>
            </w:r>
          </w:p>
        </w:tc>
        <w:tc>
          <w:tcPr>
            <w:tcW w:type="dxa" w:w="1423"/>
            <w:shd w:fill="1F386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6"/>
                <w:szCs w:val="16"/>
              </w:rPr>
              <w:t xml:space="preserve">마진</w:t>
            </w:r>
          </w:p>
        </w:tc>
        <w:tc>
          <w:tcPr>
            <w:tcW w:type="dxa" w:w="1423"/>
            <w:shd w:fill="1F386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6"/>
                <w:szCs w:val="16"/>
              </w:rPr>
              <w:t xml:space="preserve">capex</w:t>
            </w:r>
          </w:p>
        </w:tc>
        <w:tc>
          <w:tcPr>
            <w:tcW w:type="dxa" w:w="1423"/>
            <w:shd w:fill="1F386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6"/>
                <w:szCs w:val="16"/>
              </w:rPr>
              <w:t xml:space="preserve">capex/매출</w:t>
            </w:r>
          </w:p>
        </w:tc>
      </w:tr>
      <w:tr>
        <w:tc>
          <w:tcPr>
            <w:tcW w:type="dxa" w:w="224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발사체 (Space)</w:t>
            </w:r>
          </w:p>
        </w:tc>
        <w:tc>
          <w:tcPr>
            <w:tcW w:type="dxa" w:w="142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righ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3,348</w:t>
            </w:r>
          </w:p>
        </w:tc>
        <w:tc>
          <w:tcPr>
            <w:tcW w:type="dxa" w:w="142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righ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-1,211</w:t>
            </w:r>
          </w:p>
        </w:tc>
        <w:tc>
          <w:tcPr>
            <w:tcW w:type="dxa" w:w="142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righ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-36%</w:t>
            </w:r>
          </w:p>
        </w:tc>
        <w:tc>
          <w:tcPr>
            <w:tcW w:type="dxa" w:w="142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righ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3,832</w:t>
            </w:r>
          </w:p>
        </w:tc>
        <w:tc>
          <w:tcPr>
            <w:tcW w:type="dxa" w:w="142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righ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1.1x</w:t>
            </w:r>
          </w:p>
        </w:tc>
      </w:tr>
      <w:tr>
        <w:tc>
          <w:tcPr>
            <w:tcW w:type="dxa" w:w="2246"/>
            <w:shd w:fill="F2F4F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스타링크 (Connectivity)</w:t>
            </w:r>
          </w:p>
        </w:tc>
        <w:tc>
          <w:tcPr>
            <w:tcW w:type="dxa" w:w="1423"/>
            <w:shd w:fill="F2F4F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righ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12,796</w:t>
            </w:r>
          </w:p>
        </w:tc>
        <w:tc>
          <w:tcPr>
            <w:tcW w:type="dxa" w:w="1423"/>
            <w:shd w:fill="F2F4F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righ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5,211</w:t>
            </w:r>
          </w:p>
        </w:tc>
        <w:tc>
          <w:tcPr>
            <w:tcW w:type="dxa" w:w="1423"/>
            <w:shd w:fill="F2F4F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righ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41%</w:t>
            </w:r>
          </w:p>
        </w:tc>
        <w:tc>
          <w:tcPr>
            <w:tcW w:type="dxa" w:w="1423"/>
            <w:shd w:fill="F2F4F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righ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4,242</w:t>
            </w:r>
          </w:p>
        </w:tc>
        <w:tc>
          <w:tcPr>
            <w:tcW w:type="dxa" w:w="1423"/>
            <w:shd w:fill="F2F4F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righ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0.3x</w:t>
            </w:r>
          </w:p>
        </w:tc>
      </w:tr>
      <w:tr>
        <w:tc>
          <w:tcPr>
            <w:tcW w:type="dxa" w:w="224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슈퍼인텔리전스 (SI)</w:t>
            </w:r>
          </w:p>
        </w:tc>
        <w:tc>
          <w:tcPr>
            <w:tcW w:type="dxa" w:w="142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righ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10,939</w:t>
            </w:r>
          </w:p>
        </w:tc>
        <w:tc>
          <w:tcPr>
            <w:tcW w:type="dxa" w:w="142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righ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-3,295</w:t>
            </w:r>
          </w:p>
        </w:tc>
        <w:tc>
          <w:tcPr>
            <w:tcW w:type="dxa" w:w="142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righ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-30%</w:t>
            </w:r>
          </w:p>
        </w:tc>
        <w:tc>
          <w:tcPr>
            <w:tcW w:type="dxa" w:w="142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righ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39,995</w:t>
            </w:r>
          </w:p>
        </w:tc>
        <w:tc>
          <w:tcPr>
            <w:tcW w:type="dxa" w:w="142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righ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3.7x</w:t>
            </w:r>
          </w:p>
        </w:tc>
      </w:tr>
      <w:tr>
        <w:tc>
          <w:tcPr>
            <w:tcW w:type="dxa" w:w="2246"/>
            <w:shd w:fill="F2F4F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합계</w:t>
            </w:r>
          </w:p>
        </w:tc>
        <w:tc>
          <w:tcPr>
            <w:tcW w:type="dxa" w:w="1423"/>
            <w:shd w:fill="F2F4F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righ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27,083</w:t>
            </w:r>
          </w:p>
        </w:tc>
        <w:tc>
          <w:tcPr>
            <w:tcW w:type="dxa" w:w="1423"/>
            <w:shd w:fill="F2F4F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righ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705</w:t>
            </w:r>
          </w:p>
        </w:tc>
        <w:tc>
          <w:tcPr>
            <w:tcW w:type="dxa" w:w="1423"/>
            <w:shd w:fill="F2F4F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righ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3%</w:t>
            </w:r>
          </w:p>
        </w:tc>
        <w:tc>
          <w:tcPr>
            <w:tcW w:type="dxa" w:w="1423"/>
            <w:shd w:fill="F2F4F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righ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48,069</w:t>
            </w:r>
          </w:p>
        </w:tc>
        <w:tc>
          <w:tcPr>
            <w:tcW w:type="dxa" w:w="1423"/>
            <w:shd w:fill="F2F4F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righ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1.8x</w:t>
            </w:r>
          </w:p>
        </w:tc>
      </w:tr>
    </w:tbl>
    <w:p>
      <w:pPr>
        <w:spacing w:after="200"/>
      </w:pPr>
    </w:p>
    <w:p>
      <w:pPr>
        <w:pBdr>
          <w:left w:val="single" w:color="BFBFBF" w:sz="12" w:space="10"/>
        </w:pBdr>
        <w:spacing w:after="180" w:before="100" w:line="264"/>
        <w:ind w:left="200"/>
      </w:pPr>
      <w:r>
        <w:rPr>
          <w:rFonts w:ascii="Malgun Gothic" w:cs="Malgun Gothic" w:eastAsia="Malgun Gothic" w:hAnsi="Malgun Gothic"/>
          <w:color w:val="595959"/>
          <w:sz w:val="17"/>
          <w:szCs w:val="17"/>
        </w:rPr>
        <w:t xml:space="preserve">2026년 1~9월, 단위 백만 달러.</w:t>
      </w:r>
    </w:p>
    <w:p>
      <w:pPr>
        <w:spacing w:after="140" w:line="288"/>
      </w:pPr>
      <w:r>
        <w:rPr>
          <w:rFonts w:ascii="Malgun Gothic" w:cs="Malgun Gothic" w:eastAsia="Malgun Gothic" w:hAnsi="Malgun Gothic"/>
          <w:sz w:val="19"/>
          <w:szCs w:val="19"/>
        </w:rPr>
        <w:t xml:space="preserve">사업부별 투하자본은 공시되지 않으므로 사업부 ROIC는 계산할 수 없습니다. 분모를 임의로 만들지 않고, 대신 같은 기간에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자기가 번 영업이익으로 자기 capex를 댈 수 있는가</w:t>
      </w:r>
      <w:r>
        <w:rPr>
          <w:rFonts w:ascii="Malgun Gothic" w:cs="Malgun Gothic" w:eastAsia="Malgun Gothic" w:hAnsi="Malgun Gothic"/>
          <w:sz w:val="19"/>
          <w:szCs w:val="19"/>
        </w:rPr>
        <w:t xml:space="preserve">를 봤습니다. 분모를 발명하지 않아도 답이 보이는 질문입니다.</w:t>
      </w:r>
    </w:p>
    <w:tbl>
      <w:tblPr>
        <w:tblW w:type="dxa" w:w="9360"/>
        <w:tblBorders>
          <w:top w:val="single" w:color="BFBFBF" w:sz="2"/>
          <w:left w:val="none"/>
          <w:bottom w:val="single" w:color="BFBFBF" w:sz="2"/>
          <w:right w:val="none"/>
          <w:insideH w:val="single" w:color="D9D9D9" w:sz="1"/>
          <w:insideV w:val="none"/>
        </w:tblBorders>
      </w:tblPr>
      <w:tblGrid>
        <w:gridCol w:w="2434"/>
        <w:gridCol w:w="3463"/>
        <w:gridCol w:w="3463"/>
      </w:tblGrid>
      <w:tr>
        <w:trPr>
          <w:tblHeader/>
        </w:trPr>
        <w:tc>
          <w:tcPr>
            <w:tcW w:type="dxa" w:w="2434"/>
            <w:shd w:fill="1F386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6"/>
                <w:szCs w:val="16"/>
              </w:rPr>
              <w:t xml:space="preserve">사업부</w:t>
            </w:r>
          </w:p>
        </w:tc>
        <w:tc>
          <w:tcPr>
            <w:tcW w:type="dxa" w:w="3463"/>
            <w:shd w:fill="1F386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6"/>
                <w:szCs w:val="16"/>
              </w:rPr>
              <w:t xml:space="preserve">영업이익 − capex</w:t>
            </w:r>
          </w:p>
        </w:tc>
        <w:tc>
          <w:tcPr>
            <w:tcW w:type="dxa" w:w="3463"/>
            <w:shd w:fill="1F386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6"/>
                <w:szCs w:val="16"/>
              </w:rPr>
              <w:t xml:space="preserve">매출 성장(전년 9개월 대비)</w:t>
            </w:r>
          </w:p>
        </w:tc>
      </w:tr>
      <w:tr>
        <w:tc>
          <w:tcPr>
            <w:tcW w:type="dxa" w:w="243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발사체 (Space)</w:t>
            </w:r>
          </w:p>
        </w:tc>
        <w:tc>
          <w:tcPr>
            <w:tcW w:type="dxa" w:w="346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righ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-5,043</w:t>
            </w:r>
          </w:p>
        </w:tc>
        <w:tc>
          <w:tcPr>
            <w:tcW w:type="dxa" w:w="346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righ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2%</w:t>
            </w:r>
          </w:p>
        </w:tc>
      </w:tr>
      <w:tr>
        <w:tc>
          <w:tcPr>
            <w:tcW w:type="dxa" w:w="2434"/>
            <w:shd w:fill="F2F4F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스타링크 (Connectivity)</w:t>
            </w:r>
          </w:p>
        </w:tc>
        <w:tc>
          <w:tcPr>
            <w:tcW w:type="dxa" w:w="3463"/>
            <w:shd w:fill="F2F4F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righ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969</w:t>
            </w:r>
          </w:p>
        </w:tc>
        <w:tc>
          <w:tcPr>
            <w:tcW w:type="dxa" w:w="3463"/>
            <w:shd w:fill="F2F4F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righ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57%</w:t>
            </w:r>
          </w:p>
        </w:tc>
      </w:tr>
      <w:tr>
        <w:tc>
          <w:tcPr>
            <w:tcW w:type="dxa" w:w="243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슈퍼인텔리전스 (SI)</w:t>
            </w:r>
          </w:p>
        </w:tc>
        <w:tc>
          <w:tcPr>
            <w:tcW w:type="dxa" w:w="346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righ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-43,290</w:t>
            </w:r>
          </w:p>
        </w:tc>
        <w:tc>
          <w:tcPr>
            <w:tcW w:type="dxa" w:w="346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righ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380%</w:t>
            </w:r>
          </w:p>
        </w:tc>
      </w:tr>
    </w:tbl>
    <w:p>
      <w:pPr>
        <w:spacing w:after="200"/>
      </w:pPr>
    </w:p>
    <w:p>
      <w:pPr>
        <w:spacing w:after="140" w:line="288"/>
      </w:pPr>
      <w:r>
        <w:rPr>
          <w:rFonts w:ascii="Malgun Gothic" w:cs="Malgun Gothic" w:eastAsia="Malgun Gothic" w:hAnsi="Malgun Gothic"/>
          <w:sz w:val="19"/>
          <w:szCs w:val="19"/>
        </w:rPr>
        <w:t xml:space="preserve">스타링크만 양수입니다. 발사체는 매출이 2% 늘면서 적자로 돌아섰고, SI는 매출이 380% 늘었지만 그 성장에 매출의 3.7배를 쓰고 있습니다.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그룹 capex $48,069m 중 $39,995m(83%)이 SI로 갑니다.</w:t>
      </w:r>
      <w:r>
        <w:rPr>
          <w:rFonts w:ascii="Malgun Gothic" w:cs="Malgun Gothic" w:eastAsia="Malgun Gothic" w:hAnsi="Malgun Gothic"/>
          <w:sz w:val="19"/>
          <w:szCs w:val="19"/>
        </w:rPr>
        <w:t xml:space="preserve"> 지금의 스페이스X는 스타링크가 버는 돈과 IPO로 받은 $85,675m을 AI 인프라에 넣고 있는 회사입니다.</w:t>
      </w:r>
    </w:p>
    <w:p>
      <w:pPr>
        <w:pStyle w:val="Heading3"/>
        <w:spacing w:after="100" w:before="240"/>
      </w:pPr>
      <w:r>
        <w:rPr>
          <w:rFonts w:ascii="Malgun Gothic" w:cs="Malgun Gothic" w:eastAsia="Malgun Gothic" w:hAnsi="Malgun Gothic"/>
          <w:b/>
          <w:bCs/>
          <w:color w:val="8B3A2F"/>
          <w:sz w:val="20"/>
          <w:szCs w:val="20"/>
        </w:rPr>
        <w:t xml:space="preserve">분기로 쪼개면 — 9개월 누계가 가리는 것</w:t>
      </w:r>
    </w:p>
    <w:p>
      <w:pPr>
        <w:spacing w:after="140" w:line="288"/>
      </w:pPr>
      <w:r>
        <w:rPr>
          <w:rFonts w:ascii="Malgun Gothic" w:cs="Malgun Gothic" w:eastAsia="Malgun Gothic" w:hAnsi="Malgun Gothic"/>
          <w:sz w:val="19"/>
          <w:szCs w:val="19"/>
        </w:rPr>
        <w:t xml:space="preserve">9개월 누계 영업이익 705백만 달러는 서로 반대인 두 기간을 평균한 값입니다. 1~2분기에 영업적자 2,086백만 달러를 냈고 3분기에 2,791백만 달러를 벌었습니다. 누계만 보면 지금 회사가 어디에 있는지 알 수 없습니다.</w:t>
      </w:r>
    </w:p>
    <w:tbl>
      <w:tblPr>
        <w:tblW w:type="dxa" w:w="9360"/>
        <w:tblBorders>
          <w:top w:val="single" w:color="BFBFBF" w:sz="2"/>
          <w:left w:val="none"/>
          <w:bottom w:val="single" w:color="BFBFBF" w:sz="2"/>
          <w:right w:val="none"/>
          <w:insideH w:val="single" w:color="D9D9D9" w:sz="1"/>
          <w:insideV w:val="none"/>
        </w:tblBorders>
      </w:tblPr>
      <w:tblGrid>
        <w:gridCol w:w="2434"/>
        <w:gridCol w:w="2309"/>
        <w:gridCol w:w="2309"/>
        <w:gridCol w:w="2309"/>
      </w:tblGrid>
      <w:tr>
        <w:trPr>
          <w:tblHeader/>
        </w:trPr>
        <w:tc>
          <w:tcPr>
            <w:tcW w:type="dxa" w:w="2434"/>
            <w:shd w:fill="1F386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6"/>
                <w:szCs w:val="16"/>
              </w:rPr>
              <w:t xml:space="preserve">항목</w:t>
            </w:r>
          </w:p>
        </w:tc>
        <w:tc>
          <w:tcPr>
            <w:tcW w:type="dxa" w:w="2309"/>
            <w:shd w:fill="1F386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6"/>
                <w:szCs w:val="16"/>
              </w:rPr>
              <w:t xml:space="preserve">1~2분기</w:t>
            </w:r>
          </w:p>
        </w:tc>
        <w:tc>
          <w:tcPr>
            <w:tcW w:type="dxa" w:w="2309"/>
            <w:shd w:fill="1F386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6"/>
                <w:szCs w:val="16"/>
              </w:rPr>
              <w:t xml:space="preserve">3분기</w:t>
            </w:r>
          </w:p>
        </w:tc>
        <w:tc>
          <w:tcPr>
            <w:tcW w:type="dxa" w:w="2309"/>
            <w:shd w:fill="1F386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6"/>
                <w:szCs w:val="16"/>
              </w:rPr>
              <w:t xml:space="preserve">9개월 누계</w:t>
            </w:r>
          </w:p>
        </w:tc>
      </w:tr>
      <w:tr>
        <w:tc>
          <w:tcPr>
            <w:tcW w:type="dxa" w:w="243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매출</w:t>
            </w:r>
          </w:p>
        </w:tc>
        <w:tc>
          <w:tcPr>
            <w:tcW w:type="dxa" w:w="2309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righ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12,508</w:t>
            </w:r>
          </w:p>
        </w:tc>
        <w:tc>
          <w:tcPr>
            <w:tcW w:type="dxa" w:w="2309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righ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14,575</w:t>
            </w:r>
          </w:p>
        </w:tc>
        <w:tc>
          <w:tcPr>
            <w:tcW w:type="dxa" w:w="2309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righ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27,083</w:t>
            </w:r>
          </w:p>
        </w:tc>
      </w:tr>
      <w:tr>
        <w:tc>
          <w:tcPr>
            <w:tcW w:type="dxa" w:w="2434"/>
            <w:shd w:fill="F2F4F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영업이익</w:t>
            </w:r>
          </w:p>
        </w:tc>
        <w:tc>
          <w:tcPr>
            <w:tcW w:type="dxa" w:w="2309"/>
            <w:shd w:fill="F2F4F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righ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-2,086</w:t>
            </w:r>
          </w:p>
        </w:tc>
        <w:tc>
          <w:tcPr>
            <w:tcW w:type="dxa" w:w="2309"/>
            <w:shd w:fill="F2F4F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righ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2,791</w:t>
            </w:r>
          </w:p>
        </w:tc>
        <w:tc>
          <w:tcPr>
            <w:tcW w:type="dxa" w:w="2309"/>
            <w:shd w:fill="F2F4F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righ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705</w:t>
            </w:r>
          </w:p>
        </w:tc>
      </w:tr>
      <w:tr>
        <w:tc>
          <w:tcPr>
            <w:tcW w:type="dxa" w:w="243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NOPAT (×0.79)</w:t>
            </w:r>
          </w:p>
        </w:tc>
        <w:tc>
          <w:tcPr>
            <w:tcW w:type="dxa" w:w="2309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righ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-1,648</w:t>
            </w:r>
          </w:p>
        </w:tc>
        <w:tc>
          <w:tcPr>
            <w:tcW w:type="dxa" w:w="2309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righ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2,205</w:t>
            </w:r>
          </w:p>
        </w:tc>
        <w:tc>
          <w:tcPr>
            <w:tcW w:type="dxa" w:w="2309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righ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557</w:t>
            </w:r>
          </w:p>
        </w:tc>
      </w:tr>
      <w:tr>
        <w:tc>
          <w:tcPr>
            <w:tcW w:type="dxa" w:w="2434"/>
            <w:shd w:fill="F2F4F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capex</w:t>
            </w:r>
          </w:p>
        </w:tc>
        <w:tc>
          <w:tcPr>
            <w:tcW w:type="dxa" w:w="2309"/>
            <w:shd w:fill="F2F4F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righ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28,476</w:t>
            </w:r>
          </w:p>
        </w:tc>
        <w:tc>
          <w:tcPr>
            <w:tcW w:type="dxa" w:w="2309"/>
            <w:shd w:fill="F2F4F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righ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19,593</w:t>
            </w:r>
          </w:p>
        </w:tc>
        <w:tc>
          <w:tcPr>
            <w:tcW w:type="dxa" w:w="2309"/>
            <w:shd w:fill="F2F4F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righ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48,069</w:t>
            </w:r>
          </w:p>
        </w:tc>
      </w:tr>
    </w:tbl>
    <w:p>
      <w:pPr>
        <w:spacing w:after="200"/>
      </w:pPr>
    </w:p>
    <w:p>
      <w:pPr>
        <w:pBdr>
          <w:left w:val="single" w:color="BFBFBF" w:sz="12" w:space="10"/>
        </w:pBdr>
        <w:spacing w:after="180" w:before="100" w:line="264"/>
        <w:ind w:left="200"/>
      </w:pPr>
      <w:r>
        <w:rPr>
          <w:rFonts w:ascii="Malgun Gothic" w:cs="Malgun Gothic" w:eastAsia="Malgun Gothic" w:hAnsi="Malgun Gothic"/>
          <w:color w:val="595959"/>
          <w:sz w:val="17"/>
          <w:szCs w:val="17"/>
        </w:rPr>
        <w:t xml:space="preserve">단위 백만 달러.</w:t>
      </w:r>
    </w:p>
    <w:p>
      <w:pPr>
        <w:spacing w:after="140" w:line="288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NOPAT은 어느 기간으로 봐도 마이너스가 아닙니다.</w:t>
      </w:r>
      <w:r>
        <w:rPr>
          <w:rFonts w:ascii="Malgun Gothic" w:cs="Malgun Gothic" w:eastAsia="Malgun Gothic" w:hAnsi="Malgun Gothic"/>
          <w:sz w:val="19"/>
          <w:szCs w:val="19"/>
        </w:rPr>
        <w:t xml:space="preserve"> 9개월 누계 +557백만, 3분기 단독 +2,205백만 달러입니다. 마이너스인 것은 9개월 누계 *순이익*(−413백만 달러)이고, 그건 1~2분기 적자와 이자비용 1,968백만 달러 때문입니다. 3분기 순이익은 +4,404백만 달러입니다.</w:t>
      </w:r>
    </w:p>
    <w:p>
      <w:pPr>
        <w:pStyle w:val="Heading3"/>
        <w:spacing w:after="100" w:before="240"/>
      </w:pPr>
      <w:r>
        <w:rPr>
          <w:rFonts w:ascii="Malgun Gothic" w:cs="Malgun Gothic" w:eastAsia="Malgun Gothic" w:hAnsi="Malgun Gothic"/>
          <w:b/>
          <w:bCs/>
          <w:color w:val="8B3A2F"/>
          <w:sz w:val="20"/>
          <w:szCs w:val="20"/>
        </w:rPr>
        <w:t xml:space="preserve">3분기 속도로 보면 판정이 바뀝니다</w:t>
      </w:r>
    </w:p>
    <w:tbl>
      <w:tblPr>
        <w:tblW w:type="dxa" w:w="9360"/>
        <w:tblBorders>
          <w:top w:val="single" w:color="BFBFBF" w:sz="2"/>
          <w:left w:val="none"/>
          <w:bottom w:val="single" w:color="BFBFBF" w:sz="2"/>
          <w:right w:val="none"/>
          <w:insideH w:val="single" w:color="D9D9D9" w:sz="1"/>
          <w:insideV w:val="none"/>
        </w:tblBorders>
      </w:tblPr>
      <w:tblGrid>
        <w:gridCol w:w="2246"/>
        <w:gridCol w:w="1423"/>
        <w:gridCol w:w="1423"/>
        <w:gridCol w:w="1423"/>
        <w:gridCol w:w="1423"/>
        <w:gridCol w:w="1423"/>
      </w:tblGrid>
      <w:tr>
        <w:trPr>
          <w:tblHeader/>
        </w:trPr>
        <w:tc>
          <w:tcPr>
            <w:tcW w:type="dxa" w:w="2246"/>
            <w:shd w:fill="1F386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6"/>
                <w:szCs w:val="16"/>
              </w:rPr>
              <w:t xml:space="preserve">분모</w:t>
            </w:r>
          </w:p>
        </w:tc>
        <w:tc>
          <w:tcPr>
            <w:tcW w:type="dxa" w:w="1423"/>
            <w:shd w:fill="1F386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6"/>
                <w:szCs w:val="16"/>
              </w:rPr>
              <w:t xml:space="preserve">6월말</w:t>
            </w:r>
          </w:p>
        </w:tc>
        <w:tc>
          <w:tcPr>
            <w:tcW w:type="dxa" w:w="1423"/>
            <w:shd w:fill="1F386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6"/>
                <w:szCs w:val="16"/>
              </w:rPr>
              <w:t xml:space="preserve">9월말</w:t>
            </w:r>
          </w:p>
        </w:tc>
        <w:tc>
          <w:tcPr>
            <w:tcW w:type="dxa" w:w="1423"/>
            <w:shd w:fill="1F386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6"/>
                <w:szCs w:val="16"/>
              </w:rPr>
              <w:t xml:space="preserve">평균</w:t>
            </w:r>
          </w:p>
        </w:tc>
        <w:tc>
          <w:tcPr>
            <w:tcW w:type="dxa" w:w="1423"/>
            <w:shd w:fill="1F386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6"/>
                <w:szCs w:val="16"/>
              </w:rPr>
              <w:t xml:space="preserve">ROIC</w:t>
            </w:r>
          </w:p>
        </w:tc>
        <w:tc>
          <w:tcPr>
            <w:tcW w:type="dxa" w:w="1423"/>
            <w:shd w:fill="1F386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6"/>
                <w:szCs w:val="16"/>
              </w:rPr>
              <w:t xml:space="preserve">−10%</w:t>
            </w:r>
          </w:p>
        </w:tc>
      </w:tr>
      <w:tr>
        <w:tc>
          <w:tcPr>
            <w:tcW w:type="dxa" w:w="224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보고</w:t>
            </w:r>
          </w:p>
        </w:tc>
        <w:tc>
          <w:tcPr>
            <w:tcW w:type="dxa" w:w="142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righ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66.6</w:t>
            </w:r>
          </w:p>
        </w:tc>
        <w:tc>
          <w:tcPr>
            <w:tcW w:type="dxa" w:w="142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righ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125.8</w:t>
            </w:r>
          </w:p>
        </w:tc>
        <w:tc>
          <w:tcPr>
            <w:tcW w:type="dxa" w:w="142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righ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96.2</w:t>
            </w:r>
          </w:p>
        </w:tc>
        <w:tc>
          <w:tcPr>
            <w:tcW w:type="dxa" w:w="142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righ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9.2%</w:t>
            </w:r>
          </w:p>
        </w:tc>
        <w:tc>
          <w:tcPr>
            <w:tcW w:type="dxa" w:w="142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righ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-0.8%</w:t>
            </w:r>
          </w:p>
        </w:tc>
      </w:tr>
      <w:tr>
        <w:tc>
          <w:tcPr>
            <w:tcW w:type="dxa" w:w="2246"/>
            <w:shd w:fill="F2F4F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영업</w:t>
            </w:r>
          </w:p>
        </w:tc>
        <w:tc>
          <w:tcPr>
            <w:tcW w:type="dxa" w:w="1423"/>
            <w:shd w:fill="F2F4F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righ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53.6</w:t>
            </w:r>
          </w:p>
        </w:tc>
        <w:tc>
          <w:tcPr>
            <w:tcW w:type="dxa" w:w="1423"/>
            <w:shd w:fill="F2F4F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righ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71.0</w:t>
            </w:r>
          </w:p>
        </w:tc>
        <w:tc>
          <w:tcPr>
            <w:tcW w:type="dxa" w:w="1423"/>
            <w:shd w:fill="F2F4F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righ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62.3</w:t>
            </w:r>
          </w:p>
        </w:tc>
        <w:tc>
          <w:tcPr>
            <w:tcW w:type="dxa" w:w="1423"/>
            <w:shd w:fill="F2F4F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righ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14.2%</w:t>
            </w:r>
          </w:p>
        </w:tc>
        <w:tc>
          <w:tcPr>
            <w:tcW w:type="dxa" w:w="1423"/>
            <w:shd w:fill="F2F4F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righ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4.2%</w:t>
            </w:r>
          </w:p>
        </w:tc>
      </w:tr>
      <w:tr>
        <w:tc>
          <w:tcPr>
            <w:tcW w:type="dxa" w:w="224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가동</w:t>
            </w:r>
          </w:p>
        </w:tc>
        <w:tc>
          <w:tcPr>
            <w:tcW w:type="dxa" w:w="142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righ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41.1</w:t>
            </w:r>
          </w:p>
        </w:tc>
        <w:tc>
          <w:tcPr>
            <w:tcW w:type="dxa" w:w="142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righ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47.2</w:t>
            </w:r>
          </w:p>
        </w:tc>
        <w:tc>
          <w:tcPr>
            <w:tcW w:type="dxa" w:w="142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righ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44.1</w:t>
            </w:r>
          </w:p>
        </w:tc>
        <w:tc>
          <w:tcPr>
            <w:tcW w:type="dxa" w:w="142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righ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20.0%</w:t>
            </w:r>
          </w:p>
        </w:tc>
        <w:tc>
          <w:tcPr>
            <w:tcW w:type="dxa" w:w="142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righ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10.0%</w:t>
            </w:r>
          </w:p>
        </w:tc>
      </w:tr>
    </w:tbl>
    <w:p>
      <w:pPr>
        <w:spacing w:after="200"/>
      </w:pPr>
    </w:p>
    <w:p>
      <w:pPr>
        <w:pBdr>
          <w:left w:val="single" w:color="BFBFBF" w:sz="12" w:space="10"/>
        </w:pBdr>
        <w:spacing w:after="180" w:before="100" w:line="264"/>
        <w:ind w:left="200"/>
      </w:pPr>
      <w:r>
        <w:rPr>
          <w:rFonts w:ascii="Malgun Gothic" w:cs="Malgun Gothic" w:eastAsia="Malgun Gothic" w:hAnsi="Malgun Gothic"/>
          <w:color w:val="595959"/>
          <w:sz w:val="17"/>
          <w:szCs w:val="17"/>
        </w:rPr>
        <w:t xml:space="preserve">단위 십억 달러. 분자는 3분기 NOPAT 2,205백만 달러 × 4. 분모는 6월말·9월말 투하자본의 평균.</w:t>
      </w:r>
    </w:p>
    <w:p>
      <w:pPr>
        <w:spacing w:after="140" w:line="288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세 관점 중 둘이 10%를 넘습니다</w:t>
      </w:r>
      <w:r>
        <w:rPr>
          <w:rFonts w:ascii="Malgun Gothic" w:cs="Malgun Gothic" w:eastAsia="Malgun Gothic" w:hAnsi="Malgun Gothic"/>
          <w:sz w:val="19"/>
          <w:szCs w:val="19"/>
        </w:rPr>
        <w:t xml:space="preserve"> — 영업 기준 14.2%, 가동 기준 20.0%. 9개월 연율 기준(0.9%/1.5%/2.2%)과 전혀 다른 결론입니다. 어느 쪽도 정답이라고 부르지 않습니다: 9개월 연율은 나쁜 두 분기를 섞어 현재를 과소평가하고, 한 분기를 ×4 하는 것은 같은 논리로 과대평가합니다.</w:t>
      </w:r>
    </w:p>
    <w:p>
      <w:pPr>
        <w:pStyle w:val="Heading3"/>
        <w:spacing w:after="100" w:before="240"/>
      </w:pPr>
      <w:r>
        <w:rPr>
          <w:rFonts w:ascii="Malgun Gothic" w:cs="Malgun Gothic" w:eastAsia="Malgun Gothic" w:hAnsi="Malgun Gothic"/>
          <w:b/>
          <w:bCs/>
          <w:color w:val="8B3A2F"/>
          <w:sz w:val="20"/>
          <w:szCs w:val="20"/>
        </w:rPr>
        <w:t xml:space="preserve">3분기 급증은 인수 때문이 아닙니다</w:t>
      </w:r>
    </w:p>
    <w:tbl>
      <w:tblPr>
        <w:tblW w:type="dxa" w:w="9360"/>
        <w:tblBorders>
          <w:top w:val="single" w:color="BFBFBF" w:sz="2"/>
          <w:left w:val="none"/>
          <w:bottom w:val="single" w:color="BFBFBF" w:sz="2"/>
          <w:right w:val="none"/>
          <w:insideH w:val="single" w:color="D9D9D9" w:sz="1"/>
          <w:insideV w:val="none"/>
        </w:tblBorders>
      </w:tblPr>
      <w:tblGrid>
        <w:gridCol w:w="2434"/>
        <w:gridCol w:w="2309"/>
        <w:gridCol w:w="2309"/>
        <w:gridCol w:w="2309"/>
      </w:tblGrid>
      <w:tr>
        <w:trPr>
          <w:tblHeader/>
        </w:trPr>
        <w:tc>
          <w:tcPr>
            <w:tcW w:type="dxa" w:w="2434"/>
            <w:shd w:fill="1F386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6"/>
                <w:szCs w:val="16"/>
              </w:rPr>
              <w:t xml:space="preserve">매출 항목</w:t>
            </w:r>
          </w:p>
        </w:tc>
        <w:tc>
          <w:tcPr>
            <w:tcW w:type="dxa" w:w="2309"/>
            <w:shd w:fill="1F386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6"/>
                <w:szCs w:val="16"/>
              </w:rPr>
              <w:t xml:space="preserve">3Q2025</w:t>
            </w:r>
          </w:p>
        </w:tc>
        <w:tc>
          <w:tcPr>
            <w:tcW w:type="dxa" w:w="2309"/>
            <w:shd w:fill="1F386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6"/>
                <w:szCs w:val="16"/>
              </w:rPr>
              <w:t xml:space="preserve">3Q2026</w:t>
            </w:r>
          </w:p>
        </w:tc>
        <w:tc>
          <w:tcPr>
            <w:tcW w:type="dxa" w:w="2309"/>
            <w:shd w:fill="1F386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6"/>
                <w:szCs w:val="16"/>
              </w:rPr>
              <w:t xml:space="preserve">증가</w:t>
            </w:r>
          </w:p>
        </w:tc>
      </w:tr>
      <w:tr>
        <w:tc>
          <w:tcPr>
            <w:tcW w:type="dxa" w:w="243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SI 인프라·솔루션</w:t>
            </w:r>
          </w:p>
        </w:tc>
        <w:tc>
          <w:tcPr>
            <w:tcW w:type="dxa" w:w="2309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righ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359</w:t>
            </w:r>
          </w:p>
        </w:tc>
        <w:tc>
          <w:tcPr>
            <w:tcW w:type="dxa" w:w="2309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righ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7,022</w:t>
            </w:r>
          </w:p>
        </w:tc>
        <w:tc>
          <w:tcPr>
            <w:tcW w:type="dxa" w:w="2309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righ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19배</w:t>
            </w:r>
          </w:p>
        </w:tc>
      </w:tr>
      <w:tr>
        <w:tc>
          <w:tcPr>
            <w:tcW w:type="dxa" w:w="2434"/>
            <w:shd w:fill="F2F4F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스타링크 소비자</w:t>
            </w:r>
          </w:p>
        </w:tc>
        <w:tc>
          <w:tcPr>
            <w:tcW w:type="dxa" w:w="2309"/>
            <w:shd w:fill="F2F4F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righ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1,986</w:t>
            </w:r>
          </w:p>
        </w:tc>
        <w:tc>
          <w:tcPr>
            <w:tcW w:type="dxa" w:w="2309"/>
            <w:shd w:fill="F2F4F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righ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3,121</w:t>
            </w:r>
          </w:p>
        </w:tc>
        <w:tc>
          <w:tcPr>
            <w:tcW w:type="dxa" w:w="2309"/>
            <w:shd w:fill="F2F4F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righ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+57%</w:t>
            </w:r>
          </w:p>
        </w:tc>
      </w:tr>
      <w:tr>
        <w:tc>
          <w:tcPr>
            <w:tcW w:type="dxa" w:w="243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스타링크 기업·정부</w:t>
            </w:r>
          </w:p>
        </w:tc>
        <w:tc>
          <w:tcPr>
            <w:tcW w:type="dxa" w:w="2309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righ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1,111</w:t>
            </w:r>
          </w:p>
        </w:tc>
        <w:tc>
          <w:tcPr>
            <w:tcW w:type="dxa" w:w="2309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righ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2,127</w:t>
            </w:r>
          </w:p>
        </w:tc>
        <w:tc>
          <w:tcPr>
            <w:tcW w:type="dxa" w:w="2309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righ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+91%</w:t>
            </w:r>
          </w:p>
        </w:tc>
      </w:tr>
      <w:tr>
        <w:tc>
          <w:tcPr>
            <w:tcW w:type="dxa" w:w="2434"/>
            <w:shd w:fill="F2F4F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X 광고</w:t>
            </w:r>
          </w:p>
        </w:tc>
        <w:tc>
          <w:tcPr>
            <w:tcW w:type="dxa" w:w="2309"/>
            <w:shd w:fill="F2F4F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righ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454</w:t>
            </w:r>
          </w:p>
        </w:tc>
        <w:tc>
          <w:tcPr>
            <w:tcW w:type="dxa" w:w="2309"/>
            <w:shd w:fill="F2F4F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righ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538</w:t>
            </w:r>
          </w:p>
        </w:tc>
        <w:tc>
          <w:tcPr>
            <w:tcW w:type="dxa" w:w="2309"/>
            <w:shd w:fill="F2F4F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righ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+18%</w:t>
            </w:r>
          </w:p>
        </w:tc>
      </w:tr>
      <w:tr>
        <w:tc>
          <w:tcPr>
            <w:tcW w:type="dxa" w:w="243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발사체</w:t>
            </w:r>
          </w:p>
        </w:tc>
        <w:tc>
          <w:tcPr>
            <w:tcW w:type="dxa" w:w="2309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righ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1,666</w:t>
            </w:r>
          </w:p>
        </w:tc>
        <w:tc>
          <w:tcPr>
            <w:tcW w:type="dxa" w:w="2309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righ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1,767</w:t>
            </w:r>
          </w:p>
        </w:tc>
        <w:tc>
          <w:tcPr>
            <w:tcW w:type="dxa" w:w="2309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righ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+6%</w:t>
            </w:r>
          </w:p>
        </w:tc>
      </w:tr>
    </w:tbl>
    <w:p>
      <w:pPr>
        <w:spacing w:after="200"/>
      </w:pPr>
    </w:p>
    <w:p>
      <w:pPr>
        <w:spacing w:after="140" w:line="288"/>
      </w:pPr>
      <w:r>
        <w:rPr>
          <w:rFonts w:ascii="Malgun Gothic" w:cs="Malgun Gothic" w:eastAsia="Malgun Gothic" w:hAnsi="Malgun Gothic"/>
          <w:sz w:val="19"/>
          <w:szCs w:val="19"/>
        </w:rPr>
        <w:t xml:space="preserve">Cursor 기여분은 약 539백만 달러입니다 — 10-Q의 프로포마 매출 15,114백만 달러와 보고 매출 14,575백만 달러의 차이입니다. SI의 7,022백만 달러 중 대부분은 인수가 아닌 자체 증가이고, 스타링크 영업이익도 1,190 → 2,367백만 달러(마진 45%)로 좋아졌습니다. 반대로 발사체는 영업이익이 +259에서 −7백만 달러로 돌아섰습니다.</w:t>
      </w:r>
    </w:p>
    <w:p>
      <w:pPr>
        <w:pStyle w:val="Heading3"/>
        <w:spacing w:after="100" w:before="240"/>
      </w:pPr>
      <w:r>
        <w:rPr>
          <w:rFonts w:ascii="Malgun Gothic" w:cs="Malgun Gothic" w:eastAsia="Malgun Gothic" w:hAnsi="Malgun Gothic"/>
          <w:b/>
          <w:bCs/>
          <w:color w:val="8B3A2F"/>
          <w:sz w:val="20"/>
          <w:szCs w:val="20"/>
        </w:rPr>
        <w:t xml:space="preserve">연간 이력 — 있는 만큼만</w:t>
      </w:r>
    </w:p>
    <w:tbl>
      <w:tblPr>
        <w:tblW w:type="dxa" w:w="9360"/>
        <w:tblBorders>
          <w:top w:val="single" w:color="BFBFBF" w:sz="2"/>
          <w:left w:val="none"/>
          <w:bottom w:val="single" w:color="BFBFBF" w:sz="2"/>
          <w:right w:val="none"/>
          <w:insideH w:val="single" w:color="D9D9D9" w:sz="1"/>
          <w:insideV w:val="none"/>
        </w:tblBorders>
      </w:tblPr>
      <w:tblGrid>
        <w:gridCol w:w="2434"/>
        <w:gridCol w:w="1732"/>
        <w:gridCol w:w="1732"/>
        <w:gridCol w:w="1732"/>
        <w:gridCol w:w="1732"/>
      </w:tblGrid>
      <w:tr>
        <w:trPr>
          <w:tblHeader/>
        </w:trPr>
        <w:tc>
          <w:tcPr>
            <w:tcW w:type="dxa" w:w="2434"/>
            <w:shd w:fill="1F386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6"/>
                <w:szCs w:val="16"/>
              </w:rPr>
              <w:t xml:space="preserve">연도</w:t>
            </w:r>
          </w:p>
        </w:tc>
        <w:tc>
          <w:tcPr>
            <w:tcW w:type="dxa" w:w="1732"/>
            <w:shd w:fill="1F386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6"/>
                <w:szCs w:val="16"/>
              </w:rPr>
              <w:t xml:space="preserve">매출</w:t>
            </w:r>
          </w:p>
        </w:tc>
        <w:tc>
          <w:tcPr>
            <w:tcW w:type="dxa" w:w="1732"/>
            <w:shd w:fill="1F386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6"/>
                <w:szCs w:val="16"/>
              </w:rPr>
              <w:t xml:space="preserve">영업이익</w:t>
            </w:r>
          </w:p>
        </w:tc>
        <w:tc>
          <w:tcPr>
            <w:tcW w:type="dxa" w:w="1732"/>
            <w:shd w:fill="1F386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6"/>
                <w:szCs w:val="16"/>
              </w:rPr>
              <w:t xml:space="preserve">순이익</w:t>
            </w:r>
          </w:p>
        </w:tc>
        <w:tc>
          <w:tcPr>
            <w:tcW w:type="dxa" w:w="1732"/>
            <w:shd w:fill="1F386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6"/>
                <w:szCs w:val="16"/>
              </w:rPr>
              <w:t xml:space="preserve">영업이익률</w:t>
            </w:r>
          </w:p>
        </w:tc>
      </w:tr>
      <w:tr>
        <w:tc>
          <w:tcPr>
            <w:tcW w:type="dxa" w:w="243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FY2023</w:t>
            </w:r>
          </w:p>
        </w:tc>
        <w:tc>
          <w:tcPr>
            <w:tcW w:type="dxa" w:w="17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righ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10,387</w:t>
            </w:r>
          </w:p>
        </w:tc>
        <w:tc>
          <w:tcPr>
            <w:tcW w:type="dxa" w:w="17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righ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-3,505</w:t>
            </w:r>
          </w:p>
        </w:tc>
        <w:tc>
          <w:tcPr>
            <w:tcW w:type="dxa" w:w="17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righ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-4,628</w:t>
            </w:r>
          </w:p>
        </w:tc>
        <w:tc>
          <w:tcPr>
            <w:tcW w:type="dxa" w:w="17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righ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-33.7%</w:t>
            </w:r>
          </w:p>
        </w:tc>
      </w:tr>
      <w:tr>
        <w:tc>
          <w:tcPr>
            <w:tcW w:type="dxa" w:w="2434"/>
            <w:shd w:fill="F2F4F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FY2024</w:t>
            </w:r>
          </w:p>
        </w:tc>
        <w:tc>
          <w:tcPr>
            <w:tcW w:type="dxa" w:w="1732"/>
            <w:shd w:fill="F2F4F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righ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14,015</w:t>
            </w:r>
          </w:p>
        </w:tc>
        <w:tc>
          <w:tcPr>
            <w:tcW w:type="dxa" w:w="1732"/>
            <w:shd w:fill="F2F4F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righ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466</w:t>
            </w:r>
          </w:p>
        </w:tc>
        <w:tc>
          <w:tcPr>
            <w:tcW w:type="dxa" w:w="1732"/>
            <w:shd w:fill="F2F4F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righ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791</w:t>
            </w:r>
          </w:p>
        </w:tc>
        <w:tc>
          <w:tcPr>
            <w:tcW w:type="dxa" w:w="1732"/>
            <w:shd w:fill="F2F4F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righ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3.3%</w:t>
            </w:r>
          </w:p>
        </w:tc>
      </w:tr>
      <w:tr>
        <w:tc>
          <w:tcPr>
            <w:tcW w:type="dxa" w:w="243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FY2025</w:t>
            </w:r>
          </w:p>
        </w:tc>
        <w:tc>
          <w:tcPr>
            <w:tcW w:type="dxa" w:w="17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righ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18,674</w:t>
            </w:r>
          </w:p>
        </w:tc>
        <w:tc>
          <w:tcPr>
            <w:tcW w:type="dxa" w:w="17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righ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-2,589</w:t>
            </w:r>
          </w:p>
        </w:tc>
        <w:tc>
          <w:tcPr>
            <w:tcW w:type="dxa" w:w="17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righ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-4,937</w:t>
            </w:r>
          </w:p>
        </w:tc>
        <w:tc>
          <w:tcPr>
            <w:tcW w:type="dxa" w:w="17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righ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-13.9%</w:t>
            </w:r>
          </w:p>
        </w:tc>
      </w:tr>
    </w:tbl>
    <w:p>
      <w:pPr>
        <w:spacing w:after="200"/>
      </w:pPr>
    </w:p>
    <w:p>
      <w:pPr>
        <w:pBdr>
          <w:left w:val="single" w:color="BFBFBF" w:sz="12" w:space="10"/>
        </w:pBdr>
        <w:spacing w:after="180" w:before="100" w:line="264"/>
        <w:ind w:left="200"/>
      </w:pPr>
      <w:r>
        <w:rPr>
          <w:rFonts w:ascii="Malgun Gothic" w:cs="Malgun Gothic" w:eastAsia="Malgun Gothic" w:hAnsi="Malgun Gothic"/>
          <w:color w:val="595959"/>
          <w:sz w:val="17"/>
          <w:szCs w:val="17"/>
        </w:rPr>
        <w:t xml:space="preserve">등록신고서 424B4 요약재무, 단위 백만 달러. FY2022 이전은 공개 공시에 없습니다.</w:t>
      </w:r>
    </w:p>
    <w:p>
      <w:pPr>
        <w:spacing w:after="140" w:line="288"/>
      </w:pPr>
      <w:r>
        <w:rPr>
          <w:rFonts w:ascii="Malgun Gothic" w:cs="Malgun Gothic" w:eastAsia="Malgun Gothic" w:hAnsi="Malgun Gothic"/>
          <w:sz w:val="19"/>
          <w:szCs w:val="19"/>
        </w:rPr>
        <w:t xml:space="preserve">3년 중 흑자 1년. 버핏 기준의 '10년간 꾸준한 수익력'은 이 자료로는 참도 거짓도 판정할 수 없습니다.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판정 불가는 통과가 아닙니다.</w:t>
      </w:r>
    </w:p>
    <w:p>
      <w:pPr>
        <w:pStyle w:val="Heading3"/>
        <w:spacing w:after="100" w:before="240"/>
      </w:pPr>
      <w:r>
        <w:rPr>
          <w:rFonts w:ascii="Malgun Gothic" w:cs="Malgun Gothic" w:eastAsia="Malgun Gothic" w:hAnsi="Malgun Gothic"/>
          <w:b/>
          <w:bCs/>
          <w:color w:val="8B3A2F"/>
          <w:sz w:val="20"/>
          <w:szCs w:val="20"/>
        </w:rPr>
        <w:t xml:space="preserve">ROIC — 세 가지 분모</w:t>
      </w:r>
    </w:p>
    <w:p>
      <w:pPr>
        <w:spacing w:after="140" w:line="288"/>
      </w:pPr>
      <w:r>
        <w:rPr>
          <w:rFonts w:ascii="Malgun Gothic" w:cs="Malgun Gothic" w:eastAsia="Malgun Gothic" w:hAnsi="Malgun Gothic"/>
          <w:sz w:val="19"/>
          <w:szCs w:val="19"/>
        </w:rPr>
        <w:t xml:space="preserve">알파벳 분석에서 세웠던 구분을 그대로 적용했습니다. 자본을 쏟아붓는 회사는 사업이 나빠지지 않아도 ROIC가 떨어집니다 — 돈을 쓰는 순간 분모가 커지지만 분자는 그 자산이 가동될 때까지 기다리기 때문입니다.</w:t>
      </w:r>
    </w:p>
    <w:p>
      <w:pPr>
        <w:shd w:fill="F2F4F8" w:color="auto" w:val="clear"/>
        <w:spacing w:after="180" w:before="120"/>
        <w:jc w:val="center"/>
      </w:pPr>
      <w:r>
        <w:rPr>
          <w:rFonts w:ascii="Malgun Gothic" w:cs="Malgun Gothic" w:eastAsia="Malgun Gothic" w:hAnsi="Malgun Gothic"/>
          <w:b/>
          <w:bCs/>
          <w:color w:val="1F3864"/>
          <w:sz w:val="18"/>
          <w:szCs w:val="18"/>
        </w:rPr>
        <w:t xml:space="preserve">보고 = 자기자본+우선주+차입금−현금 · 영업 = 보고−영업권−무형자산 · 가동 = 영업−건설중자산</w:t>
      </w:r>
    </w:p>
    <w:tbl>
      <w:tblPr>
        <w:tblW w:type="dxa" w:w="9360"/>
        <w:tblBorders>
          <w:top w:val="single" w:color="BFBFBF" w:sz="2"/>
          <w:left w:val="none"/>
          <w:bottom w:val="single" w:color="BFBFBF" w:sz="2"/>
          <w:right w:val="none"/>
          <w:insideH w:val="single" w:color="D9D9D9" w:sz="1"/>
          <w:insideV w:val="none"/>
        </w:tblBorders>
      </w:tblPr>
      <w:tblGrid>
        <w:gridCol w:w="2246"/>
        <w:gridCol w:w="1423"/>
        <w:gridCol w:w="1423"/>
        <w:gridCol w:w="1423"/>
        <w:gridCol w:w="1423"/>
        <w:gridCol w:w="1423"/>
      </w:tblGrid>
      <w:tr>
        <w:trPr>
          <w:tblHeader/>
        </w:trPr>
        <w:tc>
          <w:tcPr>
            <w:tcW w:type="dxa" w:w="2246"/>
            <w:shd w:fill="1F386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6"/>
                <w:szCs w:val="16"/>
              </w:rPr>
              <w:t xml:space="preserve">분모</w:t>
            </w:r>
          </w:p>
        </w:tc>
        <w:tc>
          <w:tcPr>
            <w:tcW w:type="dxa" w:w="1423"/>
            <w:shd w:fill="1F386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6"/>
                <w:szCs w:val="16"/>
              </w:rPr>
              <w:t xml:space="preserve">기초(2025-12)</w:t>
            </w:r>
          </w:p>
        </w:tc>
        <w:tc>
          <w:tcPr>
            <w:tcW w:type="dxa" w:w="1423"/>
            <w:shd w:fill="1F386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6"/>
                <w:szCs w:val="16"/>
              </w:rPr>
              <w:t xml:space="preserve">기말(2026-09)</w:t>
            </w:r>
          </w:p>
        </w:tc>
        <w:tc>
          <w:tcPr>
            <w:tcW w:type="dxa" w:w="1423"/>
            <w:shd w:fill="1F386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6"/>
                <w:szCs w:val="16"/>
              </w:rPr>
              <w:t xml:space="preserve">평균</w:t>
            </w:r>
          </w:p>
        </w:tc>
        <w:tc>
          <w:tcPr>
            <w:tcW w:type="dxa" w:w="1423"/>
            <w:shd w:fill="1F386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6"/>
                <w:szCs w:val="16"/>
              </w:rPr>
              <w:t xml:space="preserve">ROIC</w:t>
            </w:r>
          </w:p>
        </w:tc>
        <w:tc>
          <w:tcPr>
            <w:tcW w:type="dxa" w:w="1423"/>
            <w:shd w:fill="1F386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6"/>
                <w:szCs w:val="16"/>
              </w:rPr>
              <w:t xml:space="preserve">−10%</w:t>
            </w:r>
          </w:p>
        </w:tc>
      </w:tr>
      <w:tr>
        <w:tc>
          <w:tcPr>
            <w:tcW w:type="dxa" w:w="224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보고</w:t>
            </w:r>
          </w:p>
        </w:tc>
        <w:tc>
          <w:tcPr>
            <w:tcW w:type="dxa" w:w="142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righ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39.5</w:t>
            </w:r>
          </w:p>
        </w:tc>
        <w:tc>
          <w:tcPr>
            <w:tcW w:type="dxa" w:w="142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righ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125.8</w:t>
            </w:r>
          </w:p>
        </w:tc>
        <w:tc>
          <w:tcPr>
            <w:tcW w:type="dxa" w:w="142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righ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82.6</w:t>
            </w:r>
          </w:p>
        </w:tc>
        <w:tc>
          <w:tcPr>
            <w:tcW w:type="dxa" w:w="142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righ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0.9%</w:t>
            </w:r>
          </w:p>
        </w:tc>
        <w:tc>
          <w:tcPr>
            <w:tcW w:type="dxa" w:w="142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righ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-9.1%</w:t>
            </w:r>
          </w:p>
        </w:tc>
      </w:tr>
      <w:tr>
        <w:tc>
          <w:tcPr>
            <w:tcW w:type="dxa" w:w="2246"/>
            <w:shd w:fill="F2F4F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영업</w:t>
            </w:r>
          </w:p>
        </w:tc>
        <w:tc>
          <w:tcPr>
            <w:tcW w:type="dxa" w:w="1423"/>
            <w:shd w:fill="F2F4F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righ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26.1</w:t>
            </w:r>
          </w:p>
        </w:tc>
        <w:tc>
          <w:tcPr>
            <w:tcW w:type="dxa" w:w="1423"/>
            <w:shd w:fill="F2F4F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righ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71.0</w:t>
            </w:r>
          </w:p>
        </w:tc>
        <w:tc>
          <w:tcPr>
            <w:tcW w:type="dxa" w:w="1423"/>
            <w:shd w:fill="F2F4F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righ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48.5</w:t>
            </w:r>
          </w:p>
        </w:tc>
        <w:tc>
          <w:tcPr>
            <w:tcW w:type="dxa" w:w="1423"/>
            <w:shd w:fill="F2F4F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righ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1.5%</w:t>
            </w:r>
          </w:p>
        </w:tc>
        <w:tc>
          <w:tcPr>
            <w:tcW w:type="dxa" w:w="1423"/>
            <w:shd w:fill="F2F4F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righ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-8.5%</w:t>
            </w:r>
          </w:p>
        </w:tc>
      </w:tr>
      <w:tr>
        <w:tc>
          <w:tcPr>
            <w:tcW w:type="dxa" w:w="224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가동</w:t>
            </w:r>
          </w:p>
        </w:tc>
        <w:tc>
          <w:tcPr>
            <w:tcW w:type="dxa" w:w="142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righ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21.5</w:t>
            </w:r>
          </w:p>
        </w:tc>
        <w:tc>
          <w:tcPr>
            <w:tcW w:type="dxa" w:w="142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righ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47.2</w:t>
            </w:r>
          </w:p>
        </w:tc>
        <w:tc>
          <w:tcPr>
            <w:tcW w:type="dxa" w:w="142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righ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34.4</w:t>
            </w:r>
          </w:p>
        </w:tc>
        <w:tc>
          <w:tcPr>
            <w:tcW w:type="dxa" w:w="142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righ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2.2%</w:t>
            </w:r>
          </w:p>
        </w:tc>
        <w:tc>
          <w:tcPr>
            <w:tcW w:type="dxa" w:w="142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righ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-7.8%</w:t>
            </w:r>
          </w:p>
        </w:tc>
      </w:tr>
    </w:tbl>
    <w:p>
      <w:pPr>
        <w:spacing w:after="200"/>
      </w:pPr>
    </w:p>
    <w:p>
      <w:pPr>
        <w:pBdr>
          <w:left w:val="single" w:color="BFBFBF" w:sz="12" w:space="10"/>
        </w:pBdr>
        <w:spacing w:after="180" w:before="100" w:line="264"/>
        <w:ind w:left="200"/>
      </w:pPr>
      <w:r>
        <w:rPr>
          <w:rFonts w:ascii="Malgun Gothic" w:cs="Malgun Gothic" w:eastAsia="Malgun Gothic" w:hAnsi="Malgun Gothic"/>
          <w:color w:val="595959"/>
          <w:sz w:val="17"/>
          <w:szCs w:val="17"/>
        </w:rPr>
        <w:t xml:space="preserve">단위 십억 달러. 분자는 9개월 영업이익 705백만 달러를 연율화한 940백만 달러에 법정세율 21%를 적용한 NOPAT 743백만 달러.</w:t>
      </w:r>
    </w:p>
    <w:p>
      <w:pPr>
        <w:spacing w:after="140" w:line="288"/>
      </w:pPr>
      <w:r>
        <w:rPr>
          <w:rFonts w:ascii="Malgun Gothic" w:cs="Malgun Gothic" w:eastAsia="Malgun Gothic" w:hAnsi="Malgun Gothic"/>
          <w:sz w:val="19"/>
          <w:szCs w:val="19"/>
        </w:rPr>
        <w:t xml:space="preserve">연율화는 거칠고, 그 점을 밝혀 둡니다. 분기마다 $20bn씩 설비를 늘리는 회사의 4분기는 앞 9개월의 3분의 1이 아닙니다. 그래도 9개월 분자를 연간 평균 분모에 나누면 수익률이 3분의 1로 깎이는데, 그게 더 큰 오류입니다.</w:t>
      </w:r>
    </w:p>
    <w:p>
      <w:pPr>
        <w:spacing w:after="140" w:line="288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세 관점 모두 문턱 아래입니다.</w:t>
      </w:r>
      <w:r>
        <w:rPr>
          <w:rFonts w:ascii="Malgun Gothic" w:cs="Malgun Gothic" w:eastAsia="Malgun Gothic" w:hAnsi="Malgun Gothic"/>
          <w:sz w:val="19"/>
          <w:szCs w:val="19"/>
        </w:rPr>
        <w:t xml:space="preserve"> 가장 관대한 가동자본 기준으로도 2.2%, 10%까지 7.8% 부족합니다. 우선주를 자본에 넣은 이유는 2025년 12월 $38,752m이 있었고 IPO로 전환되어 2026년 9월 0이 되었기 때문입니다 — 빼면 돈을 조달한 해에 자본이 $38.8bn 줄어든 것처럼 보입니다.</w:t>
      </w:r>
    </w:p>
    <w:p>
      <w:pPr>
        <w:pStyle w:val="Heading3"/>
        <w:spacing w:after="100" w:before="240"/>
      </w:pPr>
      <w:r>
        <w:rPr>
          <w:rFonts w:ascii="Malgun Gothic" w:cs="Malgun Gothic" w:eastAsia="Malgun Gothic" w:hAnsi="Malgun Gothic"/>
          <w:b/>
          <w:bCs/>
          <w:color w:val="8B3A2F"/>
          <w:sz w:val="20"/>
          <w:szCs w:val="20"/>
        </w:rPr>
        <w:t xml:space="preserve">아직 돈을 벌지 않는 자본</w:t>
      </w:r>
    </w:p>
    <w:tbl>
      <w:tblPr>
        <w:tblW w:type="dxa" w:w="9360"/>
        <w:tblBorders>
          <w:top w:val="single" w:color="BFBFBF" w:sz="2"/>
          <w:left w:val="none"/>
          <w:bottom w:val="single" w:color="BFBFBF" w:sz="2"/>
          <w:right w:val="none"/>
          <w:insideH w:val="single" w:color="D9D9D9" w:sz="1"/>
          <w:insideV w:val="none"/>
        </w:tblBorders>
      </w:tblPr>
      <w:tblGrid>
        <w:gridCol w:w="2434"/>
        <w:gridCol w:w="2309"/>
        <w:gridCol w:w="2309"/>
        <w:gridCol w:w="2309"/>
      </w:tblGrid>
      <w:tr>
        <w:trPr>
          <w:tblHeader/>
        </w:trPr>
        <w:tc>
          <w:tcPr>
            <w:tcW w:type="dxa" w:w="2434"/>
            <w:shd w:fill="1F386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6"/>
                <w:szCs w:val="16"/>
              </w:rPr>
              <w:t xml:space="preserve">항목</w:t>
            </w:r>
          </w:p>
        </w:tc>
        <w:tc>
          <w:tcPr>
            <w:tcW w:type="dxa" w:w="2309"/>
            <w:shd w:fill="1F386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6"/>
                <w:szCs w:val="16"/>
              </w:rPr>
              <w:t xml:space="preserve">2025-12-31</w:t>
            </w:r>
          </w:p>
        </w:tc>
        <w:tc>
          <w:tcPr>
            <w:tcW w:type="dxa" w:w="2309"/>
            <w:shd w:fill="1F386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6"/>
                <w:szCs w:val="16"/>
              </w:rPr>
              <w:t xml:space="preserve">2026-09-30</w:t>
            </w:r>
          </w:p>
        </w:tc>
        <w:tc>
          <w:tcPr>
            <w:tcW w:type="dxa" w:w="2309"/>
            <w:shd w:fill="1F386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6"/>
                <w:szCs w:val="16"/>
              </w:rPr>
              <w:t xml:space="preserve">증가</w:t>
            </w:r>
          </w:p>
        </w:tc>
      </w:tr>
      <w:tr>
        <w:tc>
          <w:tcPr>
            <w:tcW w:type="dxa" w:w="243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PP&amp;E 총액</w:t>
            </w:r>
          </w:p>
        </w:tc>
        <w:tc>
          <w:tcPr>
            <w:tcW w:type="dxa" w:w="2309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righ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55,303</w:t>
            </w:r>
          </w:p>
        </w:tc>
        <w:tc>
          <w:tcPr>
            <w:tcW w:type="dxa" w:w="2309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righ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110,005</w:t>
            </w:r>
          </w:p>
        </w:tc>
        <w:tc>
          <w:tcPr>
            <w:tcW w:type="dxa" w:w="2309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righ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+99%</w:t>
            </w:r>
          </w:p>
        </w:tc>
      </w:tr>
      <w:tr>
        <w:tc>
          <w:tcPr>
            <w:tcW w:type="dxa" w:w="2434"/>
            <w:shd w:fill="F2F4F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건설중자산</w:t>
            </w:r>
          </w:p>
        </w:tc>
        <w:tc>
          <w:tcPr>
            <w:tcW w:type="dxa" w:w="2309"/>
            <w:shd w:fill="F2F4F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righ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4,604</w:t>
            </w:r>
          </w:p>
        </w:tc>
        <w:tc>
          <w:tcPr>
            <w:tcW w:type="dxa" w:w="2309"/>
            <w:shd w:fill="F2F4F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righ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23,745</w:t>
            </w:r>
          </w:p>
        </w:tc>
        <w:tc>
          <w:tcPr>
            <w:tcW w:type="dxa" w:w="2309"/>
            <w:shd w:fill="F2F4F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righ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+416%</w:t>
            </w:r>
          </w:p>
        </w:tc>
      </w:tr>
      <w:tr>
        <w:tc>
          <w:tcPr>
            <w:tcW w:type="dxa" w:w="243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건설중 비중</w:t>
            </w:r>
          </w:p>
        </w:tc>
        <w:tc>
          <w:tcPr>
            <w:tcW w:type="dxa" w:w="2309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righ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8%</w:t>
            </w:r>
          </w:p>
        </w:tc>
        <w:tc>
          <w:tcPr>
            <w:tcW w:type="dxa" w:w="2309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righ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22%</w:t>
            </w:r>
          </w:p>
        </w:tc>
        <w:tc>
          <w:tcPr>
            <w:tcW w:type="dxa" w:w="2309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right"/>
            </w:pPr>
          </w:p>
        </w:tc>
      </w:tr>
      <w:tr>
        <w:tc>
          <w:tcPr>
            <w:tcW w:type="dxa" w:w="2434"/>
            <w:shd w:fill="F2F4F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영업권</w:t>
            </w:r>
          </w:p>
        </w:tc>
        <w:tc>
          <w:tcPr>
            <w:tcW w:type="dxa" w:w="2309"/>
            <w:shd w:fill="F2F4F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righ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11,809</w:t>
            </w:r>
          </w:p>
        </w:tc>
        <w:tc>
          <w:tcPr>
            <w:tcW w:type="dxa" w:w="2309"/>
            <w:shd w:fill="F2F4F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righ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48,423</w:t>
            </w:r>
          </w:p>
        </w:tc>
        <w:tc>
          <w:tcPr>
            <w:tcW w:type="dxa" w:w="2309"/>
            <w:shd w:fill="F2F4F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righ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+310%</w:t>
            </w:r>
          </w:p>
        </w:tc>
      </w:tr>
      <w:tr>
        <w:tc>
          <w:tcPr>
            <w:tcW w:type="dxa" w:w="243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계약잔고(RPO)</w:t>
            </w:r>
          </w:p>
        </w:tc>
        <w:tc>
          <w:tcPr>
            <w:tcW w:type="dxa" w:w="2309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righ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—</w:t>
            </w:r>
          </w:p>
        </w:tc>
        <w:tc>
          <w:tcPr>
            <w:tcW w:type="dxa" w:w="2309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righ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62,959</w:t>
            </w:r>
          </w:p>
        </w:tc>
        <w:tc>
          <w:tcPr>
            <w:tcW w:type="dxa" w:w="2309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right"/>
            </w:pPr>
          </w:p>
        </w:tc>
      </w:tr>
      <w:tr>
        <w:tc>
          <w:tcPr>
            <w:tcW w:type="dxa" w:w="2434"/>
            <w:shd w:fill="F2F4F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선수금</w:t>
            </w:r>
          </w:p>
        </w:tc>
        <w:tc>
          <w:tcPr>
            <w:tcW w:type="dxa" w:w="2309"/>
            <w:shd w:fill="F2F4F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righ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12,116</w:t>
            </w:r>
          </w:p>
        </w:tc>
        <w:tc>
          <w:tcPr>
            <w:tcW w:type="dxa" w:w="2309"/>
            <w:shd w:fill="F2F4F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righ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17,520</w:t>
            </w:r>
          </w:p>
        </w:tc>
        <w:tc>
          <w:tcPr>
            <w:tcW w:type="dxa" w:w="2309"/>
            <w:shd w:fill="F2F4F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right"/>
            </w:pPr>
          </w:p>
        </w:tc>
      </w:tr>
    </w:tbl>
    <w:p>
      <w:pPr>
        <w:spacing w:after="200"/>
      </w:pPr>
    </w:p>
    <w:p>
      <w:pPr>
        <w:spacing w:after="140" w:line="288"/>
      </w:pPr>
      <w:r>
        <w:rPr>
          <w:rFonts w:ascii="Malgun Gothic" w:cs="Malgun Gothic" w:eastAsia="Malgun Gothic" w:hAnsi="Malgun Gothic"/>
          <w:sz w:val="19"/>
          <w:szCs w:val="19"/>
        </w:rPr>
        <w:t xml:space="preserve">건설중자산이 9개월 만에 4,604에서 23,745백만 달러로 늘어, PP&amp;E 총액의 22%가 아직 가동되지 않은 자산입니다. 알파벳에서 이 비중이 38%였고 그 조정이 증분 ROIC를 25%에서 51%로 바꿨습니다. 여기서도 같은 방향으로 작용하지만, 출발점이 0.9%라서 2.2%가 되는 데 그칩니다.</w:t>
      </w:r>
    </w:p>
    <w:p>
      <w:pPr>
        <w:spacing w:after="140" w:line="288"/>
      </w:pPr>
      <w:r>
        <w:rPr>
          <w:rFonts w:ascii="Malgun Gothic" w:cs="Malgun Gothic" w:eastAsia="Malgun Gothic" w:hAnsi="Malgun Gothic"/>
          <w:sz w:val="19"/>
          <w:szCs w:val="19"/>
        </w:rPr>
        <w:t xml:space="preserve">계약잔고 63.0십억 달러는 연율 매출의 1.7배이고, 공시에 따르면 67%가 1년 내, 27%가 그 다음, 6%가 이후에 인식됩니다. 이미 받은 선수금은 17.5십억 달러입니다. 이건 앞으로의 매출을 뒷받침하는 사실이지만, 수익성을 뒷받침하지는 않습니다 — SI의 적자는 매출이 없어서가 아니라 매출보다 비용이 커서 나는 것입니다.</w:t>
      </w:r>
    </w:p>
    <w:p>
      <w:pPr>
        <w:pStyle w:val="Heading3"/>
        <w:spacing w:after="100" w:before="240"/>
      </w:pPr>
      <w:r>
        <w:rPr>
          <w:rFonts w:ascii="Malgun Gothic" w:cs="Malgun Gothic" w:eastAsia="Malgun Gothic" w:hAnsi="Malgun Gothic"/>
          <w:b/>
          <w:bCs/>
          <w:color w:val="8B3A2F"/>
          <w:sz w:val="20"/>
          <w:szCs w:val="20"/>
        </w:rPr>
        <w:t xml:space="preserve">아직 어느 재무상태표에도 없는 자본</w:t>
      </w:r>
    </w:p>
    <w:tbl>
      <w:tblPr>
        <w:tblW w:type="dxa" w:w="9360"/>
        <w:tblBorders>
          <w:top w:val="single" w:color="BFBFBF" w:sz="2"/>
          <w:left w:val="none"/>
          <w:bottom w:val="single" w:color="BFBFBF" w:sz="2"/>
          <w:right w:val="none"/>
          <w:insideH w:val="single" w:color="D9D9D9" w:sz="1"/>
          <w:insideV w:val="none"/>
        </w:tblBorders>
      </w:tblPr>
      <w:tblGrid>
        <w:gridCol w:w="2434"/>
        <w:gridCol w:w="6926"/>
      </w:tblGrid>
      <w:tr>
        <w:trPr>
          <w:tblHeader/>
        </w:trPr>
        <w:tc>
          <w:tcPr>
            <w:tcW w:type="dxa" w:w="2434"/>
            <w:shd w:fill="1F386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6"/>
                <w:szCs w:val="16"/>
              </w:rPr>
              <w:t xml:space="preserve">항목</w:t>
            </w:r>
          </w:p>
        </w:tc>
        <w:tc>
          <w:tcPr>
            <w:tcW w:type="dxa" w:w="6926"/>
            <w:shd w:fill="1F386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6"/>
                <w:szCs w:val="16"/>
              </w:rPr>
              <w:t xml:space="preserve">내용</w:t>
            </w:r>
          </w:p>
        </w:tc>
      </w:tr>
      <w:tr>
        <w:tc>
          <w:tcPr>
            <w:tcW w:type="dxa" w:w="243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약정</w:t>
            </w:r>
          </w:p>
        </w:tc>
        <w:tc>
          <w:tcPr>
            <w:tcW w:type="dxa" w:w="69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righ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GPU 금융리스 (아폴로 관리 법인)</w:t>
            </w:r>
          </w:p>
        </w:tc>
      </w:tr>
      <w:tr>
        <w:tc>
          <w:tcPr>
            <w:tcW w:type="dxa" w:w="2434"/>
            <w:shd w:fill="F2F4F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금액</w:t>
            </w:r>
          </w:p>
        </w:tc>
        <w:tc>
          <w:tcPr>
            <w:tcW w:type="dxa" w:w="6926"/>
            <w:shd w:fill="F2F4F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righ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약 40십억 달러</w:t>
            </w:r>
          </w:p>
        </w:tc>
      </w:tr>
      <w:tr>
        <w:tc>
          <w:tcPr>
            <w:tcW w:type="dxa" w:w="243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체결일</w:t>
            </w:r>
          </w:p>
        </w:tc>
        <w:tc>
          <w:tcPr>
            <w:tcW w:type="dxa" w:w="69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righ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2026-10-24</w:t>
            </w:r>
          </w:p>
        </w:tc>
      </w:tr>
      <w:tr>
        <w:tc>
          <w:tcPr>
            <w:tcW w:type="dxa" w:w="2434"/>
            <w:shd w:fill="F2F4F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개시 예정</w:t>
            </w:r>
          </w:p>
        </w:tc>
        <w:tc>
          <w:tcPr>
            <w:tcW w:type="dxa" w:w="6926"/>
            <w:shd w:fill="F2F4F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righ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2027 H1</w:t>
            </w:r>
          </w:p>
        </w:tc>
      </w:tr>
      <w:tr>
        <w:tc>
          <w:tcPr>
            <w:tcW w:type="dxa" w:w="243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기간</w:t>
            </w:r>
          </w:p>
        </w:tc>
        <w:tc>
          <w:tcPr>
            <w:tcW w:type="dxa" w:w="69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righ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5 ~ 5.25년</w:t>
            </w:r>
          </w:p>
        </w:tc>
      </w:tr>
      <w:tr>
        <w:tc>
          <w:tcPr>
            <w:tcW w:type="dxa" w:w="2434"/>
            <w:shd w:fill="F2F4F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상태</w:t>
            </w:r>
          </w:p>
        </w:tc>
        <w:tc>
          <w:tcPr>
            <w:tcW w:type="dxa" w:w="6926"/>
            <w:shd w:fill="F2F4F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righ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구속력 있는 약정 (commitment letter) · 연내 종결 예정</w:t>
            </w:r>
          </w:p>
        </w:tc>
      </w:tr>
      <w:tr>
        <w:tc>
          <w:tcPr>
            <w:tcW w:type="dxa" w:w="243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출처</w:t>
            </w:r>
          </w:p>
        </w:tc>
        <w:tc>
          <w:tcPr>
            <w:tcW w:type="dxa" w:w="69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righ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8-K 2026-10-26 (0001104659-26-118614)</w:t>
            </w:r>
          </w:p>
        </w:tc>
      </w:tr>
    </w:tbl>
    <w:p>
      <w:pPr>
        <w:spacing w:after="200"/>
      </w:pPr>
    </w:p>
    <w:p>
      <w:pPr>
        <w:pBdr>
          <w:left w:val="single" w:color="1F3864" w:sz="18" w:space="12"/>
        </w:pBdr>
        <w:spacing w:after="40" w:before="160" w:line="280"/>
        <w:ind w:left="360" w:right="200"/>
      </w:pPr>
      <w:r>
        <w:rPr>
          <w:rFonts w:ascii="Malgun Gothic" w:cs="Malgun Gothic" w:eastAsia="Malgun Gothic" w:hAnsi="Malgun Gothic"/>
          <w:i/>
          <w:iCs/>
          <w:color w:val="1A1A1A"/>
          <w:sz w:val="18"/>
          <w:szCs w:val="18"/>
        </w:rPr>
        <w:t xml:space="preserve">"The Company expects aggregate principal payments under the lease schedules over their respective terms to total approximately $40 billion."</w:t>
      </w:r>
    </w:p>
    <w:p>
      <w:pPr>
        <w:spacing w:after="200"/>
        <w:ind w:left="360"/>
        <w:jc w:val="right"/>
      </w:pPr>
      <w:r>
        <w:rPr>
          <w:rFonts w:ascii="Malgun Gothic" w:cs="Malgun Gothic" w:eastAsia="Malgun Gothic" w:hAnsi="Malgun Gothic"/>
          <w:color w:val="595959"/>
          <w:sz w:val="16"/>
          <w:szCs w:val="16"/>
        </w:rPr>
        <w:t xml:space="preserve">— 8-K, 2026-10-26</w:t>
      </w:r>
    </w:p>
    <w:p>
      <w:pPr>
        <w:spacing w:after="140" w:line="288"/>
      </w:pPr>
      <w:r>
        <w:rPr>
          <w:rFonts w:ascii="Malgun Gothic" w:cs="Malgun Gothic" w:eastAsia="Malgun Gothic" w:hAnsi="Malgun Gothic"/>
          <w:sz w:val="19"/>
          <w:szCs w:val="19"/>
        </w:rPr>
        <w:t xml:space="preserve">리스가 개시되면 자산과 부채로 동시에 올라오므로 투하자본이 그만큼 커집니다. GPU가 가동되기까지 분자는 따라오지 않으므로, 현재 건설중자산 22%가 만드는 효과가 한 번 더 반복되는 구조입니다.</w:t>
      </w:r>
    </w:p>
    <w:p>
      <w:pPr>
        <w:pStyle w:val="Heading2"/>
        <w:spacing w:after="120" w:before="300"/>
      </w:pPr>
      <w:r>
        <w:rPr>
          <w:rFonts w:ascii="Malgun Gothic" w:cs="Malgun Gothic" w:eastAsia="Malgun Gothic" w:hAnsi="Malgun Gothic"/>
          <w:b/>
          <w:bCs/>
          <w:color w:val="1F3864"/>
          <w:sz w:val="23"/>
          <w:szCs w:val="23"/>
        </w:rPr>
        <w:t xml:space="preserve">3. 테슬라 — 10년이 있는 쪽</w:t>
      </w:r>
    </w:p>
    <w:tbl>
      <w:tblPr>
        <w:tblW w:type="dxa" w:w="9360"/>
        <w:tblBorders>
          <w:top w:val="single" w:color="BFBFBF" w:sz="2"/>
          <w:left w:val="none"/>
          <w:bottom w:val="single" w:color="BFBFBF" w:sz="2"/>
          <w:right w:val="none"/>
          <w:insideH w:val="single" w:color="D9D9D9" w:sz="1"/>
          <w:insideV w:val="none"/>
        </w:tblBorders>
      </w:tblPr>
      <w:tblGrid>
        <w:gridCol w:w="2246"/>
        <w:gridCol w:w="1423"/>
        <w:gridCol w:w="1423"/>
        <w:gridCol w:w="1423"/>
        <w:gridCol w:w="1423"/>
        <w:gridCol w:w="1423"/>
      </w:tblGrid>
      <w:tr>
        <w:trPr>
          <w:tblHeader/>
        </w:trPr>
        <w:tc>
          <w:tcPr>
            <w:tcW w:type="dxa" w:w="2246"/>
            <w:shd w:fill="1F386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6"/>
                <w:szCs w:val="16"/>
              </w:rPr>
              <w:t xml:space="preserve">연도</w:t>
            </w:r>
          </w:p>
        </w:tc>
        <w:tc>
          <w:tcPr>
            <w:tcW w:type="dxa" w:w="1423"/>
            <w:shd w:fill="1F386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6"/>
                <w:szCs w:val="16"/>
              </w:rPr>
              <w:t xml:space="preserve">매출</w:t>
            </w:r>
          </w:p>
        </w:tc>
        <w:tc>
          <w:tcPr>
            <w:tcW w:type="dxa" w:w="1423"/>
            <w:shd w:fill="1F386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6"/>
                <w:szCs w:val="16"/>
              </w:rPr>
              <w:t xml:space="preserve">영업이익</w:t>
            </w:r>
          </w:p>
        </w:tc>
        <w:tc>
          <w:tcPr>
            <w:tcW w:type="dxa" w:w="1423"/>
            <w:shd w:fill="1F386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6"/>
                <w:szCs w:val="16"/>
              </w:rPr>
              <w:t xml:space="preserve">영업이익률</w:t>
            </w:r>
          </w:p>
        </w:tc>
        <w:tc>
          <w:tcPr>
            <w:tcW w:type="dxa" w:w="1423"/>
            <w:shd w:fill="1F386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6"/>
                <w:szCs w:val="16"/>
              </w:rPr>
              <w:t xml:space="preserve">ROIC</w:t>
            </w:r>
          </w:p>
        </w:tc>
        <w:tc>
          <w:tcPr>
            <w:tcW w:type="dxa" w:w="1423"/>
            <w:shd w:fill="1F386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6"/>
                <w:szCs w:val="16"/>
              </w:rPr>
              <w:t xml:space="preserve">−10%</w:t>
            </w:r>
          </w:p>
        </w:tc>
      </w:tr>
      <w:tr>
        <w:tc>
          <w:tcPr>
            <w:tcW w:type="dxa" w:w="224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FY2016</w:t>
            </w:r>
          </w:p>
        </w:tc>
        <w:tc>
          <w:tcPr>
            <w:tcW w:type="dxa" w:w="142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righ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7,000</w:t>
            </w:r>
          </w:p>
        </w:tc>
        <w:tc>
          <w:tcPr>
            <w:tcW w:type="dxa" w:w="142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righ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-667</w:t>
            </w:r>
          </w:p>
        </w:tc>
        <w:tc>
          <w:tcPr>
            <w:tcW w:type="dxa" w:w="142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righ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-9.5%</w:t>
            </w:r>
          </w:p>
        </w:tc>
        <w:tc>
          <w:tcPr>
            <w:tcW w:type="dxa" w:w="142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righ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-9.1%</w:t>
            </w:r>
          </w:p>
        </w:tc>
        <w:tc>
          <w:tcPr>
            <w:tcW w:type="dxa" w:w="142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righ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-19.1%</w:t>
            </w:r>
          </w:p>
        </w:tc>
      </w:tr>
      <w:tr>
        <w:tc>
          <w:tcPr>
            <w:tcW w:type="dxa" w:w="2246"/>
            <w:shd w:fill="F2F4F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FY2017</w:t>
            </w:r>
          </w:p>
        </w:tc>
        <w:tc>
          <w:tcPr>
            <w:tcW w:type="dxa" w:w="1423"/>
            <w:shd w:fill="F2F4F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righ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11,759</w:t>
            </w:r>
          </w:p>
        </w:tc>
        <w:tc>
          <w:tcPr>
            <w:tcW w:type="dxa" w:w="1423"/>
            <w:shd w:fill="F2F4F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righ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-1,632</w:t>
            </w:r>
          </w:p>
        </w:tc>
        <w:tc>
          <w:tcPr>
            <w:tcW w:type="dxa" w:w="1423"/>
            <w:shd w:fill="F2F4F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righ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-13.9%</w:t>
            </w:r>
          </w:p>
        </w:tc>
        <w:tc>
          <w:tcPr>
            <w:tcW w:type="dxa" w:w="1423"/>
            <w:shd w:fill="F2F4F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righ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-12.2%</w:t>
            </w:r>
          </w:p>
        </w:tc>
        <w:tc>
          <w:tcPr>
            <w:tcW w:type="dxa" w:w="1423"/>
            <w:shd w:fill="F2F4F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righ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-22.2%</w:t>
            </w:r>
          </w:p>
        </w:tc>
      </w:tr>
      <w:tr>
        <w:tc>
          <w:tcPr>
            <w:tcW w:type="dxa" w:w="224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FY2018</w:t>
            </w:r>
          </w:p>
        </w:tc>
        <w:tc>
          <w:tcPr>
            <w:tcW w:type="dxa" w:w="142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righ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21,461</w:t>
            </w:r>
          </w:p>
        </w:tc>
        <w:tc>
          <w:tcPr>
            <w:tcW w:type="dxa" w:w="142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righ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-388</w:t>
            </w:r>
          </w:p>
        </w:tc>
        <w:tc>
          <w:tcPr>
            <w:tcW w:type="dxa" w:w="142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righ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-1.8%</w:t>
            </w:r>
          </w:p>
        </w:tc>
        <w:tc>
          <w:tcPr>
            <w:tcW w:type="dxa" w:w="142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righ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-2.4%</w:t>
            </w:r>
          </w:p>
        </w:tc>
        <w:tc>
          <w:tcPr>
            <w:tcW w:type="dxa" w:w="142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righ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-12.4%</w:t>
            </w:r>
          </w:p>
        </w:tc>
      </w:tr>
      <w:tr>
        <w:tc>
          <w:tcPr>
            <w:tcW w:type="dxa" w:w="2246"/>
            <w:shd w:fill="F2F4F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FY2019</w:t>
            </w:r>
          </w:p>
        </w:tc>
        <w:tc>
          <w:tcPr>
            <w:tcW w:type="dxa" w:w="1423"/>
            <w:shd w:fill="F2F4F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righ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24,578</w:t>
            </w:r>
          </w:p>
        </w:tc>
        <w:tc>
          <w:tcPr>
            <w:tcW w:type="dxa" w:w="1423"/>
            <w:shd w:fill="F2F4F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righ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-69</w:t>
            </w:r>
          </w:p>
        </w:tc>
        <w:tc>
          <w:tcPr>
            <w:tcW w:type="dxa" w:w="1423"/>
            <w:shd w:fill="F2F4F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righ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-0.3%</w:t>
            </w:r>
          </w:p>
        </w:tc>
        <w:tc>
          <w:tcPr>
            <w:tcW w:type="dxa" w:w="1423"/>
            <w:shd w:fill="F2F4F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righ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-0.4%</w:t>
            </w:r>
          </w:p>
        </w:tc>
        <w:tc>
          <w:tcPr>
            <w:tcW w:type="dxa" w:w="1423"/>
            <w:shd w:fill="F2F4F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righ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-10.4%</w:t>
            </w:r>
          </w:p>
        </w:tc>
      </w:tr>
      <w:tr>
        <w:tc>
          <w:tcPr>
            <w:tcW w:type="dxa" w:w="224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FY2020</w:t>
            </w:r>
          </w:p>
        </w:tc>
        <w:tc>
          <w:tcPr>
            <w:tcW w:type="dxa" w:w="142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righ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31,536</w:t>
            </w:r>
          </w:p>
        </w:tc>
        <w:tc>
          <w:tcPr>
            <w:tcW w:type="dxa" w:w="142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righ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1,994</w:t>
            </w:r>
          </w:p>
        </w:tc>
        <w:tc>
          <w:tcPr>
            <w:tcW w:type="dxa" w:w="142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righ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6.3%</w:t>
            </w:r>
          </w:p>
        </w:tc>
        <w:tc>
          <w:tcPr>
            <w:tcW w:type="dxa" w:w="142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righ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12.5%</w:t>
            </w:r>
          </w:p>
        </w:tc>
        <w:tc>
          <w:tcPr>
            <w:tcW w:type="dxa" w:w="142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righ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2.5%</w:t>
            </w:r>
          </w:p>
        </w:tc>
      </w:tr>
      <w:tr>
        <w:tc>
          <w:tcPr>
            <w:tcW w:type="dxa" w:w="2246"/>
            <w:shd w:fill="F2F4F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FY2021</w:t>
            </w:r>
          </w:p>
        </w:tc>
        <w:tc>
          <w:tcPr>
            <w:tcW w:type="dxa" w:w="1423"/>
            <w:shd w:fill="F2F4F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righ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53,823</w:t>
            </w:r>
          </w:p>
        </w:tc>
        <w:tc>
          <w:tcPr>
            <w:tcW w:type="dxa" w:w="1423"/>
            <w:shd w:fill="F2F4F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righ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6,523</w:t>
            </w:r>
          </w:p>
        </w:tc>
        <w:tc>
          <w:tcPr>
            <w:tcW w:type="dxa" w:w="1423"/>
            <w:shd w:fill="F2F4F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righ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12.1%</w:t>
            </w:r>
          </w:p>
        </w:tc>
        <w:tc>
          <w:tcPr>
            <w:tcW w:type="dxa" w:w="1423"/>
            <w:shd w:fill="F2F4F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righ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39.1%</w:t>
            </w:r>
          </w:p>
        </w:tc>
        <w:tc>
          <w:tcPr>
            <w:tcW w:type="dxa" w:w="1423"/>
            <w:shd w:fill="F2F4F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righ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29.1%</w:t>
            </w:r>
          </w:p>
        </w:tc>
      </w:tr>
      <w:tr>
        <w:tc>
          <w:tcPr>
            <w:tcW w:type="dxa" w:w="224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FY2022</w:t>
            </w:r>
          </w:p>
        </w:tc>
        <w:tc>
          <w:tcPr>
            <w:tcW w:type="dxa" w:w="142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righ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81,462</w:t>
            </w:r>
          </w:p>
        </w:tc>
        <w:tc>
          <w:tcPr>
            <w:tcW w:type="dxa" w:w="142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righ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13,656</w:t>
            </w:r>
          </w:p>
        </w:tc>
        <w:tc>
          <w:tcPr>
            <w:tcW w:type="dxa" w:w="142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righ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16.8%</w:t>
            </w:r>
          </w:p>
        </w:tc>
        <w:tc>
          <w:tcPr>
            <w:tcW w:type="dxa" w:w="142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righ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59.8%</w:t>
            </w:r>
          </w:p>
        </w:tc>
        <w:tc>
          <w:tcPr>
            <w:tcW w:type="dxa" w:w="142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righ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49.8%</w:t>
            </w:r>
          </w:p>
        </w:tc>
      </w:tr>
      <w:tr>
        <w:tc>
          <w:tcPr>
            <w:tcW w:type="dxa" w:w="2246"/>
            <w:shd w:fill="F2F4F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FY2023</w:t>
            </w:r>
          </w:p>
        </w:tc>
        <w:tc>
          <w:tcPr>
            <w:tcW w:type="dxa" w:w="1423"/>
            <w:shd w:fill="F2F4F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righ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96,773</w:t>
            </w:r>
          </w:p>
        </w:tc>
        <w:tc>
          <w:tcPr>
            <w:tcW w:type="dxa" w:w="1423"/>
            <w:shd w:fill="F2F4F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righ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8,891</w:t>
            </w:r>
          </w:p>
        </w:tc>
        <w:tc>
          <w:tcPr>
            <w:tcW w:type="dxa" w:w="1423"/>
            <w:shd w:fill="F2F4F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righ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9.2%</w:t>
            </w:r>
          </w:p>
        </w:tc>
        <w:tc>
          <w:tcPr>
            <w:tcW w:type="dxa" w:w="1423"/>
            <w:shd w:fill="F2F4F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righ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27.6%</w:t>
            </w:r>
          </w:p>
        </w:tc>
        <w:tc>
          <w:tcPr>
            <w:tcW w:type="dxa" w:w="1423"/>
            <w:shd w:fill="F2F4F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righ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17.6%</w:t>
            </w:r>
          </w:p>
        </w:tc>
      </w:tr>
      <w:tr>
        <w:tc>
          <w:tcPr>
            <w:tcW w:type="dxa" w:w="224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FY2024</w:t>
            </w:r>
          </w:p>
        </w:tc>
        <w:tc>
          <w:tcPr>
            <w:tcW w:type="dxa" w:w="142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righ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97,690</w:t>
            </w:r>
          </w:p>
        </w:tc>
        <w:tc>
          <w:tcPr>
            <w:tcW w:type="dxa" w:w="142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righ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7,076</w:t>
            </w:r>
          </w:p>
        </w:tc>
        <w:tc>
          <w:tcPr>
            <w:tcW w:type="dxa" w:w="142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righ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7.2%</w:t>
            </w:r>
          </w:p>
        </w:tc>
        <w:tc>
          <w:tcPr>
            <w:tcW w:type="dxa" w:w="142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righ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14.2%</w:t>
            </w:r>
          </w:p>
        </w:tc>
        <w:tc>
          <w:tcPr>
            <w:tcW w:type="dxa" w:w="142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righ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4.2%</w:t>
            </w:r>
          </w:p>
        </w:tc>
      </w:tr>
      <w:tr>
        <w:tc>
          <w:tcPr>
            <w:tcW w:type="dxa" w:w="2246"/>
            <w:shd w:fill="F2F4F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FY2025</w:t>
            </w:r>
          </w:p>
        </w:tc>
        <w:tc>
          <w:tcPr>
            <w:tcW w:type="dxa" w:w="1423"/>
            <w:shd w:fill="F2F4F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righ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94,827</w:t>
            </w:r>
          </w:p>
        </w:tc>
        <w:tc>
          <w:tcPr>
            <w:tcW w:type="dxa" w:w="1423"/>
            <w:shd w:fill="F2F4F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righ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4,355</w:t>
            </w:r>
          </w:p>
        </w:tc>
        <w:tc>
          <w:tcPr>
            <w:tcW w:type="dxa" w:w="1423"/>
            <w:shd w:fill="F2F4F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righ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4.6%</w:t>
            </w:r>
          </w:p>
        </w:tc>
        <w:tc>
          <w:tcPr>
            <w:tcW w:type="dxa" w:w="1423"/>
            <w:shd w:fill="F2F4F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righ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7.2%</w:t>
            </w:r>
          </w:p>
        </w:tc>
        <w:tc>
          <w:tcPr>
            <w:tcW w:type="dxa" w:w="1423"/>
            <w:shd w:fill="F2F4F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righ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-2.8%</w:t>
            </w:r>
          </w:p>
        </w:tc>
      </w:tr>
    </w:tbl>
    <w:p>
      <w:pPr>
        <w:spacing w:after="200"/>
      </w:pPr>
    </w:p>
    <w:p>
      <w:pPr>
        <w:pBdr>
          <w:left w:val="single" w:color="BFBFBF" w:sz="12" w:space="10"/>
        </w:pBdr>
        <w:spacing w:after="180" w:before="100" w:line="264"/>
        <w:ind w:left="200"/>
      </w:pPr>
      <w:r>
        <w:rPr>
          <w:rFonts w:ascii="Malgun Gothic" w:cs="Malgun Gothic" w:eastAsia="Malgun Gothic" w:hAnsi="Malgun Gothic"/>
          <w:color w:val="595959"/>
          <w:sz w:val="17"/>
          <w:szCs w:val="17"/>
        </w:rPr>
        <w:t xml:space="preserve">단위 백만 달러. 10-K 기준.</w:t>
      </w:r>
    </w:p>
    <w:p>
      <w:pPr>
        <w:spacing w:after="140" w:line="288"/>
      </w:pPr>
      <w:r>
        <w:rPr>
          <w:rFonts w:ascii="Malgun Gothic" w:cs="Malgun Gothic" w:eastAsia="Malgun Gothic" w:hAnsi="Malgun Gothic"/>
          <w:sz w:val="19"/>
          <w:szCs w:val="19"/>
        </w:rPr>
        <w:t xml:space="preserve">ROIC가 FY2022 59.8%에서 FY2025 7.2%로 내려왔습니다. 10년 중위 9.9%, 문턱 초과 5/10년 — '꾸준히 자본비용을 넘긴 회사'라고 하기 어렵습니다.</w:t>
      </w:r>
    </w:p>
    <w:p>
      <w:pPr>
        <w:pStyle w:val="Heading3"/>
        <w:spacing w:after="100" w:before="240"/>
      </w:pPr>
      <w:r>
        <w:rPr>
          <w:rFonts w:ascii="Malgun Gothic" w:cs="Malgun Gothic" w:eastAsia="Malgun Gothic" w:hAnsi="Malgun Gothic"/>
          <w:b/>
          <w:bCs/>
          <w:color w:val="8B3A2F"/>
          <w:sz w:val="20"/>
          <w:szCs w:val="20"/>
        </w:rPr>
        <w:t xml:space="preserve">증분 ROIC — 최근에 넣은 돈이 버는 것</w:t>
      </w:r>
    </w:p>
    <w:p>
      <w:pPr>
        <w:spacing w:after="140" w:line="288"/>
      </w:pPr>
      <w:r>
        <w:rPr>
          <w:rFonts w:ascii="Malgun Gothic" w:cs="Malgun Gothic" w:eastAsia="Malgun Gothic" w:hAnsi="Malgun Gothic"/>
          <w:sz w:val="19"/>
          <w:szCs w:val="19"/>
        </w:rPr>
        <w:t xml:space="preserve">10년 평균은 과거에 넣은 자본이 번 것을 말합니다. 지금 판단에 필요한 건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최근에 넣은 자본이 버는 것</w:t>
      </w:r>
      <w:r>
        <w:rPr>
          <w:rFonts w:ascii="Malgun Gothic" w:cs="Malgun Gothic" w:eastAsia="Malgun Gothic" w:hAnsi="Malgun Gothic"/>
          <w:sz w:val="19"/>
          <w:szCs w:val="19"/>
        </w:rPr>
        <w:t xml:space="preserve">이고, 그건 영업이익 증가분을 투하자본 증가분으로 나눈 값입니다.</w:t>
      </w:r>
    </w:p>
    <w:tbl>
      <w:tblPr>
        <w:tblW w:type="dxa" w:w="9360"/>
        <w:tblBorders>
          <w:top w:val="single" w:color="BFBFBF" w:sz="2"/>
          <w:left w:val="none"/>
          <w:bottom w:val="single" w:color="BFBFBF" w:sz="2"/>
          <w:right w:val="none"/>
          <w:insideH w:val="single" w:color="D9D9D9" w:sz="1"/>
          <w:insideV w:val="none"/>
        </w:tblBorders>
      </w:tblPr>
      <w:tblGrid>
        <w:gridCol w:w="2434"/>
        <w:gridCol w:w="2309"/>
        <w:gridCol w:w="2309"/>
        <w:gridCol w:w="2309"/>
      </w:tblGrid>
      <w:tr>
        <w:trPr>
          <w:tblHeader/>
        </w:trPr>
        <w:tc>
          <w:tcPr>
            <w:tcW w:type="dxa" w:w="2434"/>
            <w:shd w:fill="1F386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6"/>
                <w:szCs w:val="16"/>
              </w:rPr>
              <w:t xml:space="preserve">구간</w:t>
            </w:r>
          </w:p>
        </w:tc>
        <w:tc>
          <w:tcPr>
            <w:tcW w:type="dxa" w:w="2309"/>
            <w:shd w:fill="1F386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6"/>
                <w:szCs w:val="16"/>
              </w:rPr>
              <w:t xml:space="preserve">ΔNOPAT</w:t>
            </w:r>
          </w:p>
        </w:tc>
        <w:tc>
          <w:tcPr>
            <w:tcW w:type="dxa" w:w="2309"/>
            <w:shd w:fill="1F386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6"/>
                <w:szCs w:val="16"/>
              </w:rPr>
              <w:t xml:space="preserve">Δ투하자본</w:t>
            </w:r>
          </w:p>
        </w:tc>
        <w:tc>
          <w:tcPr>
            <w:tcW w:type="dxa" w:w="2309"/>
            <w:shd w:fill="1F386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6"/>
                <w:szCs w:val="16"/>
              </w:rPr>
              <w:t xml:space="preserve">증분 ROIC</w:t>
            </w:r>
          </w:p>
        </w:tc>
      </w:tr>
      <w:tr>
        <w:tc>
          <w:tcPr>
            <w:tcW w:type="dxa" w:w="243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FY2020→FY2025</w:t>
            </w:r>
          </w:p>
        </w:tc>
        <w:tc>
          <w:tcPr>
            <w:tcW w:type="dxa" w:w="2309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righ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1.7</w:t>
            </w:r>
          </w:p>
        </w:tc>
        <w:tc>
          <w:tcPr>
            <w:tcW w:type="dxa" w:w="2309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righ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33.2</w:t>
            </w:r>
          </w:p>
        </w:tc>
        <w:tc>
          <w:tcPr>
            <w:tcW w:type="dxa" w:w="2309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righ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5.1%</w:t>
            </w:r>
          </w:p>
        </w:tc>
      </w:tr>
      <w:tr>
        <w:tc>
          <w:tcPr>
            <w:tcW w:type="dxa" w:w="2434"/>
            <w:shd w:fill="F2F4F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FY2022→FY2025</w:t>
            </w:r>
          </w:p>
        </w:tc>
        <w:tc>
          <w:tcPr>
            <w:tcW w:type="dxa" w:w="2309"/>
            <w:shd w:fill="F2F4F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righ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-9.3</w:t>
            </w:r>
          </w:p>
        </w:tc>
        <w:tc>
          <w:tcPr>
            <w:tcW w:type="dxa" w:w="2309"/>
            <w:shd w:fill="F2F4F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righ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21.0</w:t>
            </w:r>
          </w:p>
        </w:tc>
        <w:tc>
          <w:tcPr>
            <w:tcW w:type="dxa" w:w="2309"/>
            <w:shd w:fill="F2F4F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righ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-44.5%</w:t>
            </w:r>
          </w:p>
        </w:tc>
      </w:tr>
      <w:tr>
        <w:tc>
          <w:tcPr>
            <w:tcW w:type="dxa" w:w="243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FY2023→FY2025</w:t>
            </w:r>
          </w:p>
        </w:tc>
        <w:tc>
          <w:tcPr>
            <w:tcW w:type="dxa" w:w="2309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righ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-5.3</w:t>
            </w:r>
          </w:p>
        </w:tc>
        <w:tc>
          <w:tcPr>
            <w:tcW w:type="dxa" w:w="2309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righ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8.4</w:t>
            </w:r>
          </w:p>
        </w:tc>
        <w:tc>
          <w:tcPr>
            <w:tcW w:type="dxa" w:w="2309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righ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-62.9%</w:t>
            </w:r>
          </w:p>
        </w:tc>
      </w:tr>
    </w:tbl>
    <w:p>
      <w:pPr>
        <w:spacing w:after="200"/>
      </w:pPr>
    </w:p>
    <w:p>
      <w:pPr>
        <w:pBdr>
          <w:left w:val="single" w:color="BFBFBF" w:sz="12" w:space="10"/>
        </w:pBdr>
        <w:spacing w:after="180" w:before="100" w:line="264"/>
        <w:ind w:left="200"/>
      </w:pPr>
      <w:r>
        <w:rPr>
          <w:rFonts w:ascii="Malgun Gothic" w:cs="Malgun Gothic" w:eastAsia="Malgun Gothic" w:hAnsi="Malgun Gothic"/>
          <w:color w:val="595959"/>
          <w:sz w:val="17"/>
          <w:szCs w:val="17"/>
        </w:rPr>
        <w:t xml:space="preserve">단위 십억 달러.</w:t>
      </w:r>
    </w:p>
    <w:p>
      <w:pPr>
        <w:spacing w:after="140" w:line="288"/>
      </w:pPr>
      <w:r>
        <w:rPr>
          <w:rFonts w:ascii="Malgun Gothic" w:cs="Malgun Gothic" w:eastAsia="Malgun Gothic" w:hAnsi="Malgun Gothic"/>
          <w:sz w:val="19"/>
          <w:szCs w:val="19"/>
        </w:rPr>
        <w:t xml:space="preserve">FY2022→FY2025에 투하자본이 21.0십억 달러 늘었는데 NOPAT은 -9.3십억 달러 줄었습니다. 증분 ROIC -44.5%는 '최근 3년에 추가로 넣은 자본이 수익을 전혀 늘리지 못했다'는 뜻입니다. FY2020 기준으로 보면 5.1%로, 플러스지만 역시 문턱 아래입니다.</w:t>
      </w:r>
    </w:p>
    <w:p>
      <w:pPr>
        <w:pStyle w:val="Heading3"/>
        <w:spacing w:after="100" w:before="240"/>
      </w:pPr>
      <w:r>
        <w:rPr>
          <w:rFonts w:ascii="Malgun Gothic" w:cs="Malgun Gothic" w:eastAsia="Malgun Gothic" w:hAnsi="Malgun Gothic"/>
          <w:b/>
          <w:bCs/>
          <w:color w:val="8B3A2F"/>
          <w:sz w:val="20"/>
          <w:szCs w:val="20"/>
        </w:rPr>
        <w:t xml:space="preserve">건설중자산을 빼면 달라지는가</w:t>
      </w:r>
    </w:p>
    <w:tbl>
      <w:tblPr>
        <w:tblW w:type="dxa" w:w="9360"/>
        <w:tblBorders>
          <w:top w:val="single" w:color="BFBFBF" w:sz="2"/>
          <w:left w:val="none"/>
          <w:bottom w:val="single" w:color="BFBFBF" w:sz="2"/>
          <w:right w:val="none"/>
          <w:insideH w:val="single" w:color="D9D9D9" w:sz="1"/>
          <w:insideV w:val="none"/>
        </w:tblBorders>
      </w:tblPr>
      <w:tblGrid>
        <w:gridCol w:w="2434"/>
        <w:gridCol w:w="2309"/>
        <w:gridCol w:w="2309"/>
        <w:gridCol w:w="2309"/>
      </w:tblGrid>
      <w:tr>
        <w:trPr>
          <w:tblHeader/>
        </w:trPr>
        <w:tc>
          <w:tcPr>
            <w:tcW w:type="dxa" w:w="2434"/>
            <w:shd w:fill="1F386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6"/>
                <w:szCs w:val="16"/>
              </w:rPr>
              <w:t xml:space="preserve">연도</w:t>
            </w:r>
          </w:p>
        </w:tc>
        <w:tc>
          <w:tcPr>
            <w:tcW w:type="dxa" w:w="2309"/>
            <w:shd w:fill="1F386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6"/>
                <w:szCs w:val="16"/>
              </w:rPr>
              <w:t xml:space="preserve">보고 ROIC</w:t>
            </w:r>
          </w:p>
        </w:tc>
        <w:tc>
          <w:tcPr>
            <w:tcW w:type="dxa" w:w="2309"/>
            <w:shd w:fill="1F386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6"/>
                <w:szCs w:val="16"/>
              </w:rPr>
              <w:t xml:space="preserve">가동자본 ROIC</w:t>
            </w:r>
          </w:p>
        </w:tc>
        <w:tc>
          <w:tcPr>
            <w:tcW w:type="dxa" w:w="2309"/>
            <w:shd w:fill="1F386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6"/>
                <w:szCs w:val="16"/>
              </w:rPr>
              <w:t xml:space="preserve">건설중 비중</w:t>
            </w:r>
          </w:p>
        </w:tc>
      </w:tr>
      <w:tr>
        <w:tc>
          <w:tcPr>
            <w:tcW w:type="dxa" w:w="243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FY2025</w:t>
            </w:r>
          </w:p>
        </w:tc>
        <w:tc>
          <w:tcPr>
            <w:tcW w:type="dxa" w:w="2309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righ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7.2%</w:t>
            </w:r>
          </w:p>
        </w:tc>
        <w:tc>
          <w:tcPr>
            <w:tcW w:type="dxa" w:w="2309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righ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8.8%</w:t>
            </w:r>
          </w:p>
        </w:tc>
        <w:tc>
          <w:tcPr>
            <w:tcW w:type="dxa" w:w="2309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righ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19%</w:t>
            </w:r>
          </w:p>
        </w:tc>
      </w:tr>
    </w:tbl>
    <w:p>
      <w:pPr>
        <w:spacing w:after="200"/>
      </w:pPr>
    </w:p>
    <w:p>
      <w:pPr>
        <w:spacing w:after="140" w:line="288"/>
      </w:pPr>
      <w:r>
        <w:rPr>
          <w:rFonts w:ascii="Malgun Gothic" w:cs="Malgun Gothic" w:eastAsia="Malgun Gothic" w:hAnsi="Malgun Gothic"/>
          <w:sz w:val="19"/>
          <w:szCs w:val="19"/>
        </w:rPr>
        <w:t xml:space="preserve">FY2025 7.2% → 8.8%. 방향은 맞지만 문턱을 넘기지 못합니다. 알파벳과 달리 테슬라의 미사용 자본 비중은 19%로, 설명이 되는 크기가 아닙니다.</w:t>
      </w:r>
    </w:p>
    <w:p>
      <w:pPr>
        <w:spacing w:after="140" w:line="288"/>
      </w:pPr>
      <w:r>
        <w:rPr>
          <w:rFonts w:ascii="Malgun Gothic" w:cs="Malgun Gothic" w:eastAsia="Malgun Gothic" w:hAnsi="Malgun Gothic"/>
          <w:sz w:val="19"/>
          <w:szCs w:val="19"/>
        </w:rPr>
        <w:t xml:space="preserve">다만 테슬라도 같은 AI 설비 투자를 하고 있습니다. PP&amp;E의 AI·SI 인프라 항목이 2024년 12월 5,152에서 2026년 9월 10,956백만 달러로 늘었습니다. FY2025 10-K는 이 항목을 'AI infrastructure'로, 2026년 3분기 10-Q는 'SI infrastructure'로 부릅니다 — 스페이스X가 AI 사업부를 Super Intelligence로 개칭한 것과 같은 변경입니다.</w:t>
      </w:r>
    </w:p>
    <w:p>
      <w:pPr>
        <w:pStyle w:val="Heading2"/>
        <w:spacing w:after="120" w:before="300"/>
      </w:pPr>
      <w:r>
        <w:rPr>
          <w:rFonts w:ascii="Malgun Gothic" w:cs="Malgun Gothic" w:eastAsia="Malgun Gothic" w:hAnsi="Malgun Gothic"/>
          <w:b/>
          <w:bCs/>
          <w:color w:val="1F3864"/>
          <w:sz w:val="23"/>
          <w:szCs w:val="23"/>
        </w:rPr>
        <w:t xml:space="preserve">4. 가격</w:t>
      </w:r>
    </w:p>
    <w:tbl>
      <w:tblPr>
        <w:tblW w:type="dxa" w:w="9360"/>
        <w:tblBorders>
          <w:top w:val="single" w:color="BFBFBF" w:sz="2"/>
          <w:left w:val="none"/>
          <w:bottom w:val="single" w:color="BFBFBF" w:sz="2"/>
          <w:right w:val="none"/>
          <w:insideH w:val="single" w:color="D9D9D9" w:sz="1"/>
          <w:insideV w:val="none"/>
        </w:tblBorders>
      </w:tblPr>
      <w:tblGrid>
        <w:gridCol w:w="2434"/>
        <w:gridCol w:w="3463"/>
        <w:gridCol w:w="3463"/>
      </w:tblGrid>
      <w:tr>
        <w:trPr>
          <w:tblHeader/>
        </w:trPr>
        <w:tc>
          <w:tcPr>
            <w:tcW w:type="dxa" w:w="2434"/>
            <w:shd w:fill="1F386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6"/>
                <w:szCs w:val="16"/>
              </w:rPr>
              <w:t xml:space="preserve">항목</w:t>
            </w:r>
          </w:p>
        </w:tc>
        <w:tc>
          <w:tcPr>
            <w:tcW w:type="dxa" w:w="3463"/>
            <w:shd w:fill="1F386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6"/>
                <w:szCs w:val="16"/>
              </w:rPr>
              <w:t xml:space="preserve">스페이스X</w:t>
            </w:r>
          </w:p>
        </w:tc>
        <w:tc>
          <w:tcPr>
            <w:tcW w:type="dxa" w:w="3463"/>
            <w:shd w:fill="1F386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6"/>
                <w:szCs w:val="16"/>
              </w:rPr>
              <w:t xml:space="preserve">테슬라</w:t>
            </w:r>
          </w:p>
        </w:tc>
      </w:tr>
      <w:tr>
        <w:tc>
          <w:tcPr>
            <w:tcW w:type="dxa" w:w="243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주가</w:t>
            </w:r>
          </w:p>
        </w:tc>
        <w:tc>
          <w:tcPr>
            <w:tcW w:type="dxa" w:w="346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righ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$141.71 (2026-10-29)</w:t>
            </w:r>
          </w:p>
        </w:tc>
        <w:tc>
          <w:tcPr>
            <w:tcW w:type="dxa" w:w="346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righ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$401.47 (2026-10-29)</w:t>
            </w:r>
          </w:p>
        </w:tc>
      </w:tr>
      <w:tr>
        <w:tc>
          <w:tcPr>
            <w:tcW w:type="dxa" w:w="2434"/>
            <w:shd w:fill="F2F4F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발행주식수</w:t>
            </w:r>
          </w:p>
        </w:tc>
        <w:tc>
          <w:tcPr>
            <w:tcW w:type="dxa" w:w="3463"/>
            <w:shd w:fill="F2F4F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righ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13.579십억주</w:t>
            </w:r>
          </w:p>
        </w:tc>
        <w:tc>
          <w:tcPr>
            <w:tcW w:type="dxa" w:w="3463"/>
            <w:shd w:fill="F2F4F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righ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3.953십억주</w:t>
            </w:r>
          </w:p>
        </w:tc>
      </w:tr>
      <w:tr>
        <w:tc>
          <w:tcPr>
            <w:tcW w:type="dxa" w:w="243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시가총액</w:t>
            </w:r>
          </w:p>
        </w:tc>
        <w:tc>
          <w:tcPr>
            <w:tcW w:type="dxa" w:w="346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righ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1,924십억 달러</w:t>
            </w:r>
          </w:p>
        </w:tc>
        <w:tc>
          <w:tcPr>
            <w:tcW w:type="dxa" w:w="346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righ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1,587십억 달러</w:t>
            </w:r>
          </w:p>
        </w:tc>
      </w:tr>
      <w:tr>
        <w:tc>
          <w:tcPr>
            <w:tcW w:type="dxa" w:w="2434"/>
            <w:shd w:fill="F2F4F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연율 NOPAT</w:t>
            </w:r>
          </w:p>
        </w:tc>
        <w:tc>
          <w:tcPr>
            <w:tcW w:type="dxa" w:w="3463"/>
            <w:shd w:fill="F2F4F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righ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0.7십억 달러</w:t>
            </w:r>
          </w:p>
        </w:tc>
        <w:tc>
          <w:tcPr>
            <w:tcW w:type="dxa" w:w="3463"/>
            <w:shd w:fill="F2F4F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righ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3.2십억 달러</w:t>
            </w:r>
          </w:p>
        </w:tc>
      </w:tr>
      <w:tr>
        <w:tc>
          <w:tcPr>
            <w:tcW w:type="dxa" w:w="243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시가총액 / NOPAT</w:t>
            </w:r>
          </w:p>
        </w:tc>
        <w:tc>
          <w:tcPr>
            <w:tcW w:type="dxa" w:w="346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righ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2,591배</w:t>
            </w:r>
          </w:p>
        </w:tc>
        <w:tc>
          <w:tcPr>
            <w:tcW w:type="dxa" w:w="346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righ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499배</w:t>
            </w:r>
          </w:p>
        </w:tc>
      </w:tr>
    </w:tbl>
    <w:p>
      <w:pPr>
        <w:spacing w:after="200"/>
      </w:pPr>
    </w:p>
    <w:p>
      <w:pPr>
        <w:spacing w:after="140" w:line="288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DCF를 돌리지 않았습니다.</w:t>
      </w:r>
      <w:r>
        <w:rPr>
          <w:rFonts w:ascii="Malgun Gothic" w:cs="Malgun Gothic" w:eastAsia="Malgun Gothic" w:hAnsi="Malgun Gothic"/>
          <w:sz w:val="19"/>
          <w:szCs w:val="19"/>
        </w:rPr>
        <w:t xml:space="preserve"> 알파벳에서는 성장률이 떨어지는 여러 시나리오로 현재가치를 쌓았지만, 그 계산은 출발점이 되는 정상 수익력이 있어야 성립합니다. 스페이스X는 3년 중 2년이 영업적자이고 분기마다 자본구조가 바뀌고 있어서, 어떤 숫자를 기준 수익력으로 잡아도 그 선택이 결과를 전부 결정합니다. 테슬라는 기준 수익력은 있지만 증분 ROIC가 음수여서, 성장을 가정하는 모형이 가치를 늘리는 게 아니라 줄입니다. 두 경우 모두 모형을 돌리는 것이 정확도를 높이지 않고 가정을 숨깁니다.</w:t>
      </w:r>
    </w:p>
    <w:p>
      <w:pPr>
        <w:spacing w:after="140" w:line="288"/>
      </w:pPr>
      <w:r>
        <w:rPr>
          <w:rFonts w:ascii="Malgun Gothic" w:cs="Malgun Gothic" w:eastAsia="Malgun Gothic" w:hAnsi="Malgun Gothic"/>
          <w:sz w:val="19"/>
          <w:szCs w:val="19"/>
        </w:rPr>
        <w:t xml:space="preserve">대신 거꾸로 묻는 게 정직합니다. 테슬라의 현재 시가총액 1,587십억 달러가 10% 수익률을 내려면 NOPAT이 159십억 달러여야 합니다. FY2025 실적의 50배입니다. 스페이스X는 192십억 달러가 필요한데 연율 NOPAT이 0.7십억 달러입니다.</w:t>
      </w:r>
    </w:p>
    <w:p>
      <w:pPr>
        <w:pStyle w:val="Heading2"/>
        <w:spacing w:after="120" w:before="300"/>
      </w:pPr>
      <w:r>
        <w:rPr>
          <w:rFonts w:ascii="Malgun Gothic" w:cs="Malgun Gothic" w:eastAsia="Malgun Gothic" w:hAnsi="Malgun Gothic"/>
          <w:b/>
          <w:bCs/>
          <w:color w:val="1F3864"/>
          <w:sz w:val="23"/>
          <w:szCs w:val="23"/>
        </w:rPr>
        <w:t xml:space="preserve">5. 버핏 기준 판정</w:t>
      </w:r>
    </w:p>
    <w:tbl>
      <w:tblPr>
        <w:tblW w:type="dxa" w:w="9360"/>
        <w:tblBorders>
          <w:top w:val="single" w:color="BFBFBF" w:sz="2"/>
          <w:left w:val="none"/>
          <w:bottom w:val="single" w:color="BFBFBF" w:sz="2"/>
          <w:right w:val="none"/>
          <w:insideH w:val="single" w:color="D9D9D9" w:sz="1"/>
          <w:insideV w:val="none"/>
        </w:tblBorders>
      </w:tblPr>
      <w:tblGrid>
        <w:gridCol w:w="2434"/>
        <w:gridCol w:w="3463"/>
        <w:gridCol w:w="3463"/>
      </w:tblGrid>
      <w:tr>
        <w:trPr>
          <w:tblHeader/>
        </w:trPr>
        <w:tc>
          <w:tcPr>
            <w:tcW w:type="dxa" w:w="2434"/>
            <w:shd w:fill="1F386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6"/>
                <w:szCs w:val="16"/>
              </w:rPr>
              <w:t xml:space="preserve">기준</w:t>
            </w:r>
          </w:p>
        </w:tc>
        <w:tc>
          <w:tcPr>
            <w:tcW w:type="dxa" w:w="3463"/>
            <w:shd w:fill="1F386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6"/>
                <w:szCs w:val="16"/>
              </w:rPr>
              <w:t xml:space="preserve">스페이스X</w:t>
            </w:r>
          </w:p>
        </w:tc>
        <w:tc>
          <w:tcPr>
            <w:tcW w:type="dxa" w:w="3463"/>
            <w:shd w:fill="1F386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6"/>
                <w:szCs w:val="16"/>
              </w:rPr>
              <w:t xml:space="preserve">테슬라</w:t>
            </w:r>
          </w:p>
        </w:tc>
      </w:tr>
      <w:tr>
        <w:tc>
          <w:tcPr>
            <w:tcW w:type="dxa" w:w="243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이해할 수 있는 사업</w:t>
            </w:r>
          </w:p>
        </w:tc>
        <w:tc>
          <w:tcPr>
            <w:tcW w:type="dxa" w:w="346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✗ 세 사업부의 경제성이 전혀 다르고, 그중 하나는 2개월 전 인수한 AI 사업</w:t>
            </w:r>
          </w:p>
        </w:tc>
        <w:tc>
          <w:tcPr>
            <w:tcW w:type="dxa" w:w="346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△ 자동차·에너지는 명확, AI·로보틱스 비중이 커지는 중</w:t>
            </w:r>
          </w:p>
        </w:tc>
      </w:tr>
      <w:tr>
        <w:tc>
          <w:tcPr>
            <w:tcW w:type="dxa" w:w="2434"/>
            <w:shd w:fill="F2F4F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10년 일관된 수익력</w:t>
            </w:r>
          </w:p>
        </w:tc>
        <w:tc>
          <w:tcPr>
            <w:tcW w:type="dxa" w:w="3463"/>
            <w:shd w:fill="F2F4F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판정 불가</w:t>
            </w: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 — 감사된 연간 수치 3년, 그중 흑자 1년</w:t>
            </w:r>
          </w:p>
        </w:tc>
        <w:tc>
          <w:tcPr>
            <w:tcW w:type="dxa" w:w="3463"/>
            <w:shd w:fill="F2F4F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✗ 문턱 초과 5/10년, 중위 9.9%</w:t>
            </w:r>
          </w:p>
        </w:tc>
      </w:tr>
      <w:tr>
        <w:tc>
          <w:tcPr>
            <w:tcW w:type="dxa" w:w="243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ROIC &gt; WACC(10%)</w:t>
            </w:r>
          </w:p>
        </w:tc>
        <w:tc>
          <w:tcPr>
            <w:tcW w:type="dxa" w:w="346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✗ 보고 0.9% · 가동 2.2%</w:t>
            </w:r>
          </w:p>
        </w:tc>
        <w:tc>
          <w:tcPr>
            <w:tcW w:type="dxa" w:w="346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✗ FY2025 7.2% · 가동 8.8%</w:t>
            </w:r>
          </w:p>
        </w:tc>
      </w:tr>
      <w:tr>
        <w:tc>
          <w:tcPr>
            <w:tcW w:type="dxa" w:w="2434"/>
            <w:shd w:fill="F2F4F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증분 ROIC</w:t>
            </w:r>
          </w:p>
        </w:tc>
        <w:tc>
          <w:tcPr>
            <w:tcW w:type="dxa" w:w="3463"/>
            <w:shd w:fill="F2F4F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✗ 산출 불가 (자본구조 급변) · SI capex는 매출의 3.7배</w:t>
            </w:r>
          </w:p>
        </w:tc>
        <w:tc>
          <w:tcPr>
            <w:tcW w:type="dxa" w:w="3463"/>
            <w:shd w:fill="F2F4F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✗ FY2022→25 -44.5%</w:t>
            </w:r>
          </w:p>
        </w:tc>
      </w:tr>
      <w:tr>
        <w:tc>
          <w:tcPr>
            <w:tcW w:type="dxa" w:w="243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낮은 부채</w:t>
            </w:r>
          </w:p>
        </w:tc>
        <w:tc>
          <w:tcPr>
            <w:tcW w:type="dxa" w:w="346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△ 차입금 39십억 달러에 현금·유가증권 90십억 달러로 순현금</w:t>
            </w:r>
          </w:p>
        </w:tc>
        <w:tc>
          <w:tcPr>
            <w:tcW w:type="dxa" w:w="346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△ 순현금이지만 FY2025 영업이익이 이자비용 대비 축소</w:t>
            </w:r>
          </w:p>
        </w:tc>
      </w:tr>
      <w:tr>
        <w:tc>
          <w:tcPr>
            <w:tcW w:type="dxa" w:w="2434"/>
            <w:shd w:fill="F2F4F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가격 매력</w:t>
            </w:r>
          </w:p>
        </w:tc>
        <w:tc>
          <w:tcPr>
            <w:tcW w:type="dxa" w:w="3463"/>
            <w:shd w:fill="F2F4F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✗ 시총/NOPAT 2,591배</w:t>
            </w:r>
          </w:p>
        </w:tc>
        <w:tc>
          <w:tcPr>
            <w:tcW w:type="dxa" w:w="3463"/>
            <w:shd w:fill="F2F4F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✗ 시총/NOPAT 499배</w:t>
            </w:r>
          </w:p>
        </w:tc>
      </w:tr>
    </w:tbl>
    <w:p>
      <w:pPr>
        <w:spacing w:after="200"/>
      </w:pPr>
    </w:p>
    <w:p>
      <w:pPr>
        <w:spacing w:after="140" w:line="288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스페이스X 안에서 버핏 기준을 자기 숫자로 통과하는 사업은 스타링크 하나입니다.</w:t>
      </w:r>
      <w:r>
        <w:rPr>
          <w:rFonts w:ascii="Malgun Gothic" w:cs="Malgun Gothic" w:eastAsia="Malgun Gothic" w:hAnsi="Malgun Gothic"/>
          <w:sz w:val="19"/>
          <w:szCs w:val="19"/>
        </w:rPr>
        <w:t xml:space="preserve"> 9개월 영업이익률 41%, 자기 capex를 자기 영업이익으로 대고, 매출이 57% 늘었습니다. 문제는 그걸 따로 살 수 없다는 것입니다 — SPCX를 사면 스타링크가 버는 돈을 SI 사업부에 넣는 결정을 함께 사게 됩니다. 지금 그 비율은 그룹 capex의 83%입니다.</w:t>
      </w:r>
    </w:p>
    <w:p>
      <w:pPr>
        <w:pStyle w:val="Heading2"/>
        <w:spacing w:after="120" w:before="300"/>
      </w:pPr>
      <w:r>
        <w:rPr>
          <w:rFonts w:ascii="Malgun Gothic" w:cs="Malgun Gothic" w:eastAsia="Malgun Gothic" w:hAnsi="Malgun Gothic"/>
          <w:b/>
          <w:bCs/>
          <w:color w:val="1F3864"/>
          <w:sz w:val="23"/>
          <w:szCs w:val="23"/>
        </w:rPr>
        <w:t xml:space="preserve">6. 이 분석의 한계</w:t>
      </w:r>
    </w:p>
    <w:p>
      <w:pPr>
        <w:pStyle w:val="ListParagraph"/>
        <w:numPr>
          <w:ilvl w:val="0"/>
          <w:numId w:val="2"/>
        </w:numPr>
        <w:spacing w:after="120" w:line="284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스페이스X는 10년 검정을 할 수 없습니다.</w:t>
      </w:r>
      <w:r>
        <w:rPr>
          <w:rFonts w:ascii="Malgun Gothic" w:cs="Malgun Gothic" w:eastAsia="Malgun Gothic" w:hAnsi="Malgun Gothic"/>
          <w:sz w:val="19"/>
          <w:szCs w:val="19"/>
        </w:rPr>
        <w:t xml:space="preserve"> 가장 중요한 한계이고, 자료를 더 찾아 해결되지 않습니다. 첫 10-K가 나오는 2027년 초에 FY2026 연간 수치가 확정되면 4년이 됩니다.</w:t>
      </w:r>
    </w:p>
    <w:p>
      <w:pPr>
        <w:pStyle w:val="ListParagraph"/>
        <w:numPr>
          <w:ilvl w:val="0"/>
          <w:numId w:val="2"/>
        </w:numPr>
        <w:spacing w:after="120" w:line="284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기간을 어떻게 잡느냐가 판정을 바꿉니다.</w:t>
      </w:r>
      <w:r>
        <w:rPr>
          <w:rFonts w:ascii="Malgun Gothic" w:cs="Malgun Gothic" w:eastAsia="Malgun Gothic" w:hAnsi="Malgun Gothic"/>
          <w:sz w:val="19"/>
          <w:szCs w:val="19"/>
        </w:rPr>
        <w:t xml:space="preserve"> 9개월 연율 기준으로는 세 관점 모두 문턱에 미달하고(0.9%/1.5%/2.2%), 3분기 속도 기준으로는 둘이 넘습니다(9.2%/14.2%/20.0%). 둘 다 추정이고 방향만 반대입니다. 1~2분기 영업적자 2,086백만 달러가 일시적인지 3분기 흑자 2,791백만 달러가 지속적인지는 다음 분기들이 답할 문제입니다.</w:t>
      </w:r>
    </w:p>
    <w:p>
      <w:pPr>
        <w:pStyle w:val="ListParagraph"/>
        <w:numPr>
          <w:ilvl w:val="0"/>
          <w:numId w:val="2"/>
        </w:numPr>
        <w:spacing w:after="120" w:line="284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사업부 ROIC는 계산하지 않았습니다.</w:t>
      </w:r>
      <w:r>
        <w:rPr>
          <w:rFonts w:ascii="Malgun Gothic" w:cs="Malgun Gothic" w:eastAsia="Malgun Gothic" w:hAnsi="Malgun Gothic"/>
          <w:sz w:val="19"/>
          <w:szCs w:val="19"/>
        </w:rPr>
        <w:t xml:space="preserve"> 사업부별 투하자본이 공시되지 않습니다. 사업부 capex를 누적해 분모를 만드는 방법이 있지만, 그건 측정이 아니라 추정이고 결과를 좌우합니다.</w:t>
      </w:r>
    </w:p>
    <w:p>
      <w:pPr>
        <w:pStyle w:val="ListParagraph"/>
        <w:numPr>
          <w:ilvl w:val="0"/>
          <w:numId w:val="2"/>
        </w:numPr>
        <w:spacing w:after="120" w:line="284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Cursor 인수 2개월분만 반영돼 있습니다.</w:t>
      </w:r>
      <w:r>
        <w:rPr>
          <w:rFonts w:ascii="Malgun Gothic" w:cs="Malgun Gothic" w:eastAsia="Malgun Gothic" w:hAnsi="Malgun Gothic"/>
          <w:sz w:val="19"/>
          <w:szCs w:val="19"/>
        </w:rPr>
        <w:t xml:space="preserve"> 2026년 8월 14일 종료이므로 3분기 실적에 1.5개월만 들어 있고, 영업권 48십억 달러는 전액 반영돼 있습니다. 분자와 분모의 기간이 어긋나 있어 다음 분기부터 ROIC가 올라갈 여지가 있습니다.</w:t>
      </w:r>
    </w:p>
    <w:p>
      <w:pPr>
        <w:pStyle w:val="ListParagraph"/>
        <w:numPr>
          <w:ilvl w:val="0"/>
          <w:numId w:val="2"/>
        </w:numPr>
        <w:spacing w:after="120" w:line="284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DCF를 돌리지 않았습니다.</w:t>
      </w:r>
      <w:r>
        <w:rPr>
          <w:rFonts w:ascii="Malgun Gothic" w:cs="Malgun Gothic" w:eastAsia="Malgun Gothic" w:hAnsi="Malgun Gothic"/>
          <w:sz w:val="19"/>
          <w:szCs w:val="19"/>
        </w:rPr>
        <w:t xml:space="preserve"> 이유는 4장에 적었습니다. 필요하시면 기준 수익력을 무엇으로 잡을지 먼저 정한 뒤에 돌리겠습니다.</w:t>
      </w:r>
    </w:p>
    <w:p>
      <w:pPr>
        <w:pStyle w:val="ListParagraph"/>
        <w:numPr>
          <w:ilvl w:val="0"/>
          <w:numId w:val="2"/>
        </w:numPr>
        <w:spacing w:after="120" w:line="284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WACC 10%는 지시에 따른 고정값입니다.</w:t>
      </w:r>
      <w:r>
        <w:rPr>
          <w:rFonts w:ascii="Malgun Gothic" w:cs="Malgun Gothic" w:eastAsia="Malgun Gothic" w:hAnsi="Malgun Gothic"/>
          <w:sz w:val="19"/>
          <w:szCs w:val="19"/>
        </w:rPr>
        <w:t xml:space="preserve"> 두 회사의 실제 자본비용은 다르고, 특히 스페이스X는 상장 4개월째여서 시장 기반 추정이 의미를 갖기 어렵습니다.</w:t>
      </w:r>
    </w:p>
    <w:p>
      <w:pPr>
        <w:pStyle w:val="Heading2"/>
        <w:spacing w:after="120" w:before="300"/>
      </w:pPr>
      <w:r>
        <w:rPr>
          <w:rFonts w:ascii="Malgun Gothic" w:cs="Malgun Gothic" w:eastAsia="Malgun Gothic" w:hAnsi="Malgun Gothic"/>
          <w:b/>
          <w:bCs/>
          <w:color w:val="1F3864"/>
          <w:sz w:val="23"/>
          <w:szCs w:val="23"/>
        </w:rPr>
        <w:t xml:space="preserve">7. 검증과 재현</w:t>
      </w:r>
    </w:p>
    <w:tbl>
      <w:tblPr>
        <w:tblW w:type="dxa" w:w="9360"/>
        <w:tblBorders>
          <w:top w:val="single" w:color="BFBFBF" w:sz="2"/>
          <w:left w:val="none"/>
          <w:bottom w:val="single" w:color="BFBFBF" w:sz="2"/>
          <w:right w:val="none"/>
          <w:insideH w:val="single" w:color="D9D9D9" w:sz="1"/>
          <w:insideV w:val="none"/>
        </w:tblBorders>
      </w:tblPr>
      <w:tblGrid>
        <w:gridCol w:w="2434"/>
        <w:gridCol w:w="6926"/>
      </w:tblGrid>
      <w:tr>
        <w:trPr>
          <w:tblHeader/>
        </w:trPr>
        <w:tc>
          <w:tcPr>
            <w:tcW w:type="dxa" w:w="2434"/>
            <w:shd w:fill="1F386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6"/>
                <w:szCs w:val="16"/>
              </w:rPr>
              <w:t xml:space="preserve">검증 방식</w:t>
            </w:r>
          </w:p>
        </w:tc>
        <w:tc>
          <w:tcPr>
            <w:tcW w:type="dxa" w:w="6926"/>
            <w:shd w:fill="1F386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6"/>
                <w:szCs w:val="16"/>
              </w:rPr>
              <w:t xml:space="preserve">내용</w:t>
            </w:r>
          </w:p>
        </w:tc>
      </w:tr>
      <w:tr>
        <w:tc>
          <w:tcPr>
            <w:tcW w:type="dxa" w:w="243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항등식</w:t>
            </w:r>
          </w:p>
        </w:tc>
        <w:tc>
          <w:tcPr>
            <w:tcW w:type="dxa" w:w="69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righ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투하자본 구성, NOPAT, ROIC, 평균 산정, PP&amp;E 순액=총액−감가상각누계, 시가총액</w:t>
            </w:r>
          </w:p>
        </w:tc>
      </w:tr>
      <w:tr>
        <w:tc>
          <w:tcPr>
            <w:tcW w:type="dxa" w:w="2434"/>
            <w:shd w:fill="F2F4F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합계 검정</w:t>
            </w:r>
          </w:p>
        </w:tc>
        <w:tc>
          <w:tcPr>
            <w:tcW w:type="dxa" w:w="6926"/>
            <w:shd w:fill="F2F4F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righ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사업부 매출·영업이익·capex의 합이 연결 수치와 일치, PP&amp;E 구성항목이 총액 범위 내</w:t>
            </w:r>
          </w:p>
        </w:tc>
      </w:tr>
      <w:tr>
        <w:tc>
          <w:tcPr>
            <w:tcW w:type="dxa" w:w="243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범위 검정</w:t>
            </w:r>
          </w:p>
        </w:tc>
        <w:tc>
          <w:tcPr>
            <w:tcW w:type="dxa" w:w="69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righ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발행주식수 10억~1,000억주, 시가총액 1,000억~10조 달러 (배율 오류 탐지용)</w:t>
            </w:r>
          </w:p>
        </w:tc>
      </w:tr>
      <w:tr>
        <w:tc>
          <w:tcPr>
            <w:tcW w:type="dxa" w:w="2434"/>
            <w:shd w:fill="F2F4F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공시 앵커</w:t>
            </w:r>
          </w:p>
        </w:tc>
        <w:tc>
          <w:tcPr>
            <w:tcW w:type="dxa" w:w="6926"/>
            <w:shd w:fill="F2F4F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righ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20건 — 공시 본문에서 손으로 읽은 수치와 대조</w:t>
            </w:r>
          </w:p>
        </w:tc>
      </w:tr>
      <w:tr>
        <w:tc>
          <w:tcPr>
            <w:tcW w:type="dxa" w:w="243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합계</w:t>
            </w:r>
          </w:p>
        </w:tc>
        <w:tc>
          <w:tcPr>
            <w:tcW w:type="dxa" w:w="69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righ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124건 전부 통과</w:t>
            </w:r>
          </w:p>
        </w:tc>
      </w:tr>
      <w:tr>
        <w:tc>
          <w:tcPr>
            <w:tcW w:type="dxa" w:w="2434"/>
            <w:shd w:fill="F2F4F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변이 검정</w:t>
            </w:r>
          </w:p>
        </w:tc>
        <w:tc>
          <w:tcPr>
            <w:tcW w:type="dxa" w:w="6926"/>
            <w:shd w:fill="F2F4F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righ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11건 전부 탐지 (10-K 존재를 위조하는 변이 포함)</w:t>
            </w:r>
          </w:p>
        </w:tc>
      </w:tr>
    </w:tbl>
    <w:p>
      <w:pPr>
        <w:spacing w:after="200"/>
      </w:pPr>
    </w:p>
    <w:p>
      <w:pPr>
        <w:spacing w:after="140" w:line="288"/>
      </w:pPr>
      <w:r>
        <w:rPr>
          <w:rFonts w:ascii="Malgun Gothic" w:cs="Malgun Gothic" w:eastAsia="Malgun Gothic" w:hAnsi="Malgun Gothic"/>
          <w:sz w:val="19"/>
          <w:szCs w:val="19"/>
        </w:rPr>
        <w:t xml:space="preserve">합계 검정이 특히 중요했습니다. 이 수치들은 API가 아니라 공시 렌더링을 파싱해 얻은 것이고, 파서가 숫자 대신 표제 행을 잡거나 '$ in Millions' 배율을 주식수에 적용하면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내부적으로 일관되면서 틀린 값</w:t>
      </w:r>
      <w:r>
        <w:rPr>
          <w:rFonts w:ascii="Malgun Gothic" w:cs="Malgun Gothic" w:eastAsia="Malgun Gothic" w:hAnsi="Malgun Gothic"/>
          <w:sz w:val="19"/>
          <w:szCs w:val="19"/>
        </w:rPr>
        <w:t xml:space="preserve">이 나옵니다. 실제로 둘 다 일어났습니다 — 우선주가 0으로 읽힌 것은 $38,752m 위의 표제를 잡았기 때문이고, 주식수가 1.4×10¹⁶으로 나와 시가총액이 200경 달러가 된 적도 있습니다. 사업부 합계와 범위 검정이 그 부류를 잡습니다.</w:t>
      </w:r>
    </w:p>
    <w:tbl>
      <w:tblPr>
        <w:tblW w:type="dxa" w:w="9360"/>
        <w:tblBorders>
          <w:top w:val="single" w:color="BFBFBF" w:sz="2"/>
          <w:left w:val="none"/>
          <w:bottom w:val="single" w:color="BFBFBF" w:sz="2"/>
          <w:right w:val="none"/>
          <w:insideH w:val="single" w:color="D9D9D9" w:sz="1"/>
          <w:insideV w:val="none"/>
        </w:tblBorders>
      </w:tblPr>
      <w:tblGrid>
        <w:gridCol w:w="2434"/>
        <w:gridCol w:w="6926"/>
      </w:tblGrid>
      <w:tr>
        <w:trPr>
          <w:tblHeader/>
        </w:trPr>
        <w:tc>
          <w:tcPr>
            <w:tcW w:type="dxa" w:w="2434"/>
            <w:shd w:fill="1F386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6"/>
                <w:szCs w:val="16"/>
              </w:rPr>
              <w:t xml:space="preserve">파일</w:t>
            </w:r>
          </w:p>
        </w:tc>
        <w:tc>
          <w:tcPr>
            <w:tcW w:type="dxa" w:w="6926"/>
            <w:shd w:fill="1F386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6"/>
                <w:szCs w:val="16"/>
              </w:rPr>
              <w:t xml:space="preserve">역할</w:t>
            </w:r>
          </w:p>
        </w:tc>
      </w:tr>
      <w:tr>
        <w:tc>
          <w:tcPr>
            <w:tcW w:type="dxa" w:w="243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collect_spx_tsla.py</w:t>
            </w:r>
          </w:p>
        </w:tc>
        <w:tc>
          <w:tcPr>
            <w:tcW w:type="dxa" w:w="69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righ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10-Q·10-K·424B4에서 재무제표 표 수집</w:t>
            </w:r>
          </w:p>
        </w:tc>
      </w:tr>
      <w:tr>
        <w:tc>
          <w:tcPr>
            <w:tcW w:type="dxa" w:w="2434"/>
            <w:shd w:fill="F2F4F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analyse_spx_tsla.py</w:t>
            </w:r>
          </w:p>
        </w:tc>
        <w:tc>
          <w:tcPr>
            <w:tcW w:type="dxa" w:w="6926"/>
            <w:shd w:fill="F2F4F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righ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ROIC 3개 관점·사업부·증분·가격</w:t>
            </w:r>
          </w:p>
        </w:tc>
      </w:tr>
      <w:tr>
        <w:tc>
          <w:tcPr>
            <w:tcW w:type="dxa" w:w="243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verify_spx_tsla.py</w:t>
            </w:r>
          </w:p>
        </w:tc>
        <w:tc>
          <w:tcPr>
            <w:tcW w:type="dxa" w:w="69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righ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항등식·합계·앵커 + 변이 검정</w:t>
            </w:r>
          </w:p>
        </w:tc>
      </w:tr>
      <w:tr>
        <w:tc>
          <w:tcPr>
            <w:tcW w:type="dxa" w:w="2434"/>
            <w:shd w:fill="F2F4F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export_spx_tsla.py</w:t>
            </w:r>
          </w:p>
        </w:tc>
        <w:tc>
          <w:tcPr>
            <w:tcW w:type="dxa" w:w="6926"/>
            <w:shd w:fill="F2F4F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righ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마크다운·워드·엑셀 작성</w:t>
            </w:r>
          </w:p>
        </w:tc>
      </w:tr>
    </w:tbl>
    <w:p>
      <w:pPr>
        <w:spacing w:after="200"/>
      </w:pPr>
    </w:p>
    <w:sectPr>
      <w:pgSz w:w="12240" w:h="15840" w:orient="portrait"/>
      <w:pgMar w:top="1152" w:right="1080" w:bottom="1152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2026-10-29T13:38:35.368Z</dcterms:created>
  <dcterms:modified xsi:type="dcterms:W3CDTF">2026-10-29T13:38:35.368Z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