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맑은 고딕" w:hAnsi="맑은 고딕" w:eastAsia="맑은 고딕"/>
          <w:b/>
          <w:color w:val="0A1E50"/>
          <w:sz w:val="44"/>
        </w:rPr>
        <w:t>메모리 반도체 종합분석 보고서</w:t>
      </w:r>
    </w:p>
    <w:p>
      <w:pPr>
        <w:jc w:val="center"/>
      </w:pPr>
      <w:r>
        <w:rPr>
          <w:rFonts w:ascii="맑은 고딕" w:hAnsi="맑은 고딕" w:eastAsia="맑은 고딕"/>
          <w:b/>
          <w:color w:val="283C78"/>
          <w:sz w:val="44"/>
        </w:rPr>
        <w:t>삼성전자 · SK하이닉스</w:t>
      </w:r>
    </w:p>
    <w:p/>
    <w:p>
      <w:r>
        <w:rPr>
          <w:rFonts w:ascii="맑은 고딕" w:hAnsi="맑은 고딕" w:eastAsia="맑은 고딕"/>
          <w:b/>
          <w:color w:val="505050"/>
          <w:sz w:val="26"/>
        </w:rPr>
        <w:t>— 글로벌 거시·미시 환경, AI Capex 사이클, HBM 슈퍼사이클 종합 분석 —</w:t>
      </w:r>
    </w:p>
    <w:p>
      <w:r>
        <w:rPr>
          <w:rFonts w:ascii="맑은 고딕" w:hAnsi="맑은 고딕" w:eastAsia="맑은 고딕"/>
          <w:b/>
          <w:color w:val="505050"/>
          <w:sz w:val="26"/>
        </w:rPr>
        <w:t>— 양 팀 토론(블루팀 vs 레드팀) 및 워렌 버핏형 가치투자자 의견 반영 —</w:t>
      </w:r>
    </w:p>
    <w:p/>
    <w:p/>
    <w:p/>
    <w:p/>
    <w:p/>
    <w:p/>
    <w:p>
      <w:pPr>
        <w:jc w:val="center"/>
      </w:pPr>
      <w:r>
        <w:rPr>
          <w:rFonts w:ascii="맑은 고딕" w:hAnsi="맑은 고딕" w:eastAsia="맑은 고딕"/>
          <w:b/>
          <w:sz w:val="26"/>
        </w:rPr>
        <w:t>기준일: 2026-06-27 (한국 휴장, 직전 거래일 2026-06-26 종가 기준)</w:t>
      </w:r>
    </w:p>
    <w:p>
      <w:pPr>
        <w:jc w:val="center"/>
      </w:pPr>
      <w:r>
        <w:rPr>
          <w:rFonts w:ascii="맑은 고딕" w:hAnsi="맑은 고딕" w:eastAsia="맑은 고딕"/>
          <w:sz w:val="24"/>
        </w:rPr>
        <w:t>주가 스냅샷: 삼성전자 ₩325,750 (전일 -9.14%)  |  SK하이닉스 ₩2,673,000 (전일 -8.36%)</w:t>
      </w:r>
    </w:p>
    <w:p>
      <w:pPr>
        <w:jc w:val="center"/>
      </w:pPr>
      <w:r>
        <w:rPr>
          <w:rFonts w:ascii="맑은 고딕" w:hAnsi="맑은 고딕" w:eastAsia="맑은 고딕"/>
          <w:color w:val="B40000"/>
          <w:sz w:val="22"/>
        </w:rPr>
        <w:t>환율 KRW/USD 1,538.43  |  2026-06-26 KOSPI -8.18% 동시 급락·서킷브레이커 발동</w:t>
      </w:r>
    </w:p>
    <w:p/>
    <w:p/>
    <w:p/>
    <w:p/>
    <w:p>
      <w:pPr>
        <w:jc w:val="center"/>
      </w:pPr>
      <w:r>
        <w:rPr>
          <w:rFonts w:ascii="맑은 고딕" w:hAnsi="맑은 고딕" w:eastAsia="맑은 고딕"/>
          <w:i/>
          <w:color w:val="787878"/>
          <w:sz w:val="20"/>
        </w:rPr>
        <w:t>본 보고서는 정보 제공 목적이며 인가받은 투자 자문이 아닙니다.</w:t>
        <w:br/>
        <w:t>최종 매수·매도 결정과 책임은 사용자에게 있습니다.</w:t>
      </w:r>
    </w:p>
    <w:p>
      <w:r>
        <w:br w:type="page"/>
      </w:r>
    </w:p>
    <w:p>
      <w:r>
        <w:rPr>
          <w:rFonts w:ascii="맑은 고딕" w:hAnsi="맑은 고딕" w:eastAsia="맑은 고딕"/>
          <w:b/>
          <w:color w:val="1E326E"/>
          <w:sz w:val="32"/>
        </w:rPr>
        <w:t>목 차</w:t>
      </w:r>
    </w:p>
    <w:p>
      <w:pPr>
        <w:spacing w:after="80" w:line="324" w:lineRule="auto"/>
      </w:pPr>
      <w:r>
        <w:rPr>
          <w:rFonts w:ascii="맑은 고딕" w:hAnsi="맑은 고딕" w:eastAsia="맑은 고딕"/>
          <w:b w:val="0"/>
          <w:i w:val="0"/>
          <w:sz w:val="22"/>
        </w:rPr>
        <w:t xml:space="preserve">  1. 핵심 결론 요약 — 한 페이지 정리</w:t>
      </w:r>
    </w:p>
    <w:p>
      <w:pPr>
        <w:spacing w:after="80" w:line="324" w:lineRule="auto"/>
      </w:pPr>
      <w:r>
        <w:rPr>
          <w:rFonts w:ascii="맑은 고딕" w:hAnsi="맑은 고딕" w:eastAsia="맑은 고딕"/>
          <w:b w:val="0"/>
          <w:i w:val="0"/>
          <w:sz w:val="22"/>
        </w:rPr>
        <w:t xml:space="preserve">  2. 거시 환경 — Fed 매파 전환, 환율, 빅테크 Capex 사이클</w:t>
      </w:r>
    </w:p>
    <w:p>
      <w:pPr>
        <w:spacing w:after="80" w:line="324" w:lineRule="auto"/>
      </w:pPr>
      <w:r>
        <w:rPr>
          <w:rFonts w:ascii="맑은 고딕" w:hAnsi="맑은 고딕" w:eastAsia="맑은 고딕"/>
          <w:b w:val="0"/>
          <w:i w:val="0"/>
          <w:sz w:val="22"/>
        </w:rPr>
        <w:t xml:space="preserve">  3. 산업·미시 — DRAM·HBM 사이클, 마이크론 빅비트, 한국 3강 구도</w:t>
      </w:r>
    </w:p>
    <w:p>
      <w:pPr>
        <w:spacing w:after="80" w:line="324" w:lineRule="auto"/>
      </w:pPr>
      <w:r>
        <w:rPr>
          <w:rFonts w:ascii="맑은 고딕" w:hAnsi="맑은 고딕" w:eastAsia="맑은 고딕"/>
          <w:b w:val="0"/>
          <w:i w:val="0"/>
          <w:sz w:val="22"/>
        </w:rPr>
        <w:t xml:space="preserve">  4. 밸류에이션 — 멀티플 밴드, 외국인 수급, ADR 재평가 시나리오</w:t>
      </w:r>
    </w:p>
    <w:p>
      <w:pPr>
        <w:spacing w:after="80" w:line="324" w:lineRule="auto"/>
      </w:pPr>
      <w:r>
        <w:rPr>
          <w:rFonts w:ascii="맑은 고딕" w:hAnsi="맑은 고딕" w:eastAsia="맑은 고딕"/>
          <w:b w:val="0"/>
          <w:i w:val="0"/>
          <w:sz w:val="22"/>
        </w:rPr>
        <w:t xml:space="preserve">  5. 시장 심리 — 6/26 KOSPI 8% 급락 해부, 외국인 매도 원인</w:t>
      </w:r>
    </w:p>
    <w:p>
      <w:pPr>
        <w:spacing w:after="80" w:line="324" w:lineRule="auto"/>
      </w:pPr>
      <w:r>
        <w:rPr>
          <w:rFonts w:ascii="맑은 고딕" w:hAnsi="맑은 고딕" w:eastAsia="맑은 고딕"/>
          <w:b w:val="0"/>
          <w:i w:val="0"/>
          <w:sz w:val="22"/>
        </w:rPr>
        <w:t xml:space="preserve">  6. 워렌 버핏형 가치투자자 관점 (확장 주석)</w:t>
      </w:r>
    </w:p>
    <w:p>
      <w:pPr>
        <w:spacing w:after="80" w:line="324" w:lineRule="auto"/>
      </w:pPr>
      <w:r>
        <w:rPr>
          <w:rFonts w:ascii="맑은 고딕" w:hAnsi="맑은 고딕" w:eastAsia="맑은 고딕"/>
          <w:b w:val="0"/>
          <w:i w:val="0"/>
          <w:sz w:val="22"/>
        </w:rPr>
        <w:t xml:space="preserve">  7. 블루팀 vs 레드팀 토론 요약</w:t>
      </w:r>
    </w:p>
    <w:p>
      <w:pPr>
        <w:spacing w:after="80" w:line="324" w:lineRule="auto"/>
      </w:pPr>
      <w:r>
        <w:rPr>
          <w:rFonts w:ascii="맑은 고딕" w:hAnsi="맑은 고딕" w:eastAsia="맑은 고딕"/>
          <w:b w:val="0"/>
          <w:i w:val="0"/>
          <w:sz w:val="22"/>
        </w:rPr>
        <w:t xml:space="preserve">  8. 사용자 8가지 추가 고려사항 — 객관적 답변</w:t>
      </w:r>
    </w:p>
    <w:p>
      <w:pPr>
        <w:spacing w:after="80" w:line="324" w:lineRule="auto"/>
      </w:pPr>
      <w:r>
        <w:rPr>
          <w:rFonts w:ascii="맑은 고딕" w:hAnsi="맑은 고딕" w:eastAsia="맑은 고딕"/>
          <w:b w:val="0"/>
          <w:i w:val="0"/>
          <w:sz w:val="22"/>
        </w:rPr>
        <w:t xml:space="preserve">  9. 종목별·시계별 최종 판단과 행동 근거</w:t>
      </w:r>
    </w:p>
    <w:p>
      <w:pPr>
        <w:spacing w:after="80" w:line="324" w:lineRule="auto"/>
      </w:pPr>
      <w:r>
        <w:rPr>
          <w:rFonts w:ascii="맑은 고딕" w:hAnsi="맑은 고딕" w:eastAsia="맑은 고딕"/>
          <w:b w:val="0"/>
          <w:i w:val="0"/>
          <w:sz w:val="22"/>
        </w:rPr>
        <w:t xml:space="preserve">  10. 조건부 행동 트리거 — 향후 이런 일이 발생하면 이렇게 바꿉니다</w:t>
      </w:r>
    </w:p>
    <w:p>
      <w:pPr>
        <w:spacing w:after="80" w:line="324" w:lineRule="auto"/>
      </w:pPr>
      <w:r>
        <w:rPr>
          <w:rFonts w:ascii="맑은 고딕" w:hAnsi="맑은 고딕" w:eastAsia="맑은 고딕"/>
          <w:b w:val="0"/>
          <w:i w:val="0"/>
          <w:sz w:val="22"/>
        </w:rPr>
        <w:t xml:space="preserve">  11. 현재 시점 즉시 액션 권고</w:t>
      </w:r>
    </w:p>
    <w:p>
      <w:pPr>
        <w:spacing w:after="80" w:line="324" w:lineRule="auto"/>
      </w:pPr>
      <w:r>
        <w:rPr>
          <w:rFonts w:ascii="맑은 고딕" w:hAnsi="맑은 고딕" w:eastAsia="맑은 고딕"/>
          <w:b w:val="0"/>
          <w:i w:val="0"/>
          <w:sz w:val="22"/>
        </w:rPr>
        <w:t xml:space="preserve">  12. 면책 및 출처</w:t>
      </w:r>
    </w:p>
    <w:p>
      <w:r>
        <w:br w:type="page"/>
      </w:r>
    </w:p>
    <w:p>
      <w:r>
        <w:rPr>
          <w:rFonts w:ascii="맑은 고딕" w:hAnsi="맑은 고딕" w:eastAsia="맑은 고딕"/>
          <w:b/>
          <w:color w:val="1E326E"/>
          <w:sz w:val="32"/>
        </w:rPr>
        <w:t>1. 핵심 결론 요약 — 한 페이지 정리</w:t>
      </w:r>
    </w:p>
    <w:p>
      <w:r>
        <w:rPr>
          <w:rFonts w:ascii="맑은 고딕" w:hAnsi="맑은 고딕" w:eastAsia="맑은 고딕"/>
          <w:b/>
          <w:color w:val="1E326E"/>
          <w:sz w:val="26"/>
        </w:rPr>
        <w:t>1-1. 종목별·시계별 최종 판정</w:t>
      </w:r>
    </w:p>
    <w:tbl>
      <w:tblPr>
        <w:tblStyle w:val="LightGrid-Accent1"/>
        <w:tblW w:type="auto" w:w="0"/>
        <w:tblLook w:firstColumn="1" w:firstRow="1" w:lastColumn="0" w:lastRow="0" w:noHBand="0" w:noVBand="1" w:val="04A0"/>
      </w:tblPr>
      <w:tblGrid>
        <w:gridCol w:w="3324"/>
        <w:gridCol w:w="3324"/>
        <w:gridCol w:w="3324"/>
      </w:tblGrid>
      <w:tr>
        <w:tc>
          <w:tcPr>
            <w:tcW w:type="dxa" w:w="1984"/>
            <w:shd w:val="clear" w:color="auto" w:fill="1E3270"/>
          </w:tcPr>
          <w:p>
            <w:pPr>
              <w:jc w:val="center"/>
            </w:pPr>
            <w:r/>
            <w:r>
              <w:rPr>
                <w:rFonts w:ascii="맑은 고딕" w:hAnsi="맑은 고딕" w:eastAsia="맑은 고딕"/>
                <w:b/>
                <w:color w:val="FFFFFF"/>
                <w:sz w:val="20"/>
              </w:rPr>
              <w:t>시계</w:t>
            </w:r>
          </w:p>
        </w:tc>
        <w:tc>
          <w:tcPr>
            <w:tcW w:type="dxa" w:w="3685"/>
            <w:shd w:val="clear" w:color="auto" w:fill="1E3270"/>
          </w:tcPr>
          <w:p>
            <w:pPr>
              <w:jc w:val="center"/>
            </w:pPr>
            <w:r/>
            <w:r>
              <w:rPr>
                <w:rFonts w:ascii="맑은 고딕" w:hAnsi="맑은 고딕" w:eastAsia="맑은 고딕"/>
                <w:b/>
                <w:color w:val="FFFFFF"/>
                <w:sz w:val="20"/>
              </w:rPr>
              <w:t>삼성전자 (005930.KS)</w:t>
            </w:r>
          </w:p>
        </w:tc>
        <w:tc>
          <w:tcPr>
            <w:tcW w:type="dxa" w:w="3685"/>
            <w:shd w:val="clear" w:color="auto" w:fill="1E3270"/>
          </w:tcPr>
          <w:p>
            <w:pPr>
              <w:jc w:val="center"/>
            </w:pPr>
            <w:r/>
            <w:r>
              <w:rPr>
                <w:rFonts w:ascii="맑은 고딕" w:hAnsi="맑은 고딕" w:eastAsia="맑은 고딕"/>
                <w:b/>
                <w:color w:val="FFFFFF"/>
                <w:sz w:val="20"/>
              </w:rPr>
              <w:t>SK하이닉스 (000660.KS)</w:t>
            </w:r>
          </w:p>
        </w:tc>
      </w:tr>
      <w:tr>
        <w:tc>
          <w:tcPr>
            <w:tcW w:type="dxa" w:w="1984"/>
          </w:tcPr>
          <w:p>
            <w:pPr>
              <w:spacing w:line="300" w:lineRule="auto"/>
            </w:pPr>
            <w:r/>
            <w:r>
              <w:rPr>
                <w:rFonts w:ascii="맑은 고딕" w:hAnsi="맑은 고딕" w:eastAsia="맑은 고딕"/>
                <w:sz w:val="19"/>
              </w:rPr>
              <w:t>단기 (0~6개월)</w:t>
            </w:r>
          </w:p>
        </w:tc>
        <w:tc>
          <w:tcPr>
            <w:tcW w:type="dxa" w:w="3685"/>
          </w:tcPr>
          <w:p>
            <w:pPr>
              <w:spacing w:line="300" w:lineRule="auto"/>
            </w:pPr>
            <w:r/>
            <w:r>
              <w:rPr>
                <w:rFonts w:ascii="맑은 고딕" w:hAnsi="맑은 고딕" w:eastAsia="맑은 고딕"/>
                <w:sz w:val="19"/>
              </w:rPr>
              <w:t>HOLD (편향: 약한 BUY) — 확신도 中</w:t>
            </w:r>
          </w:p>
        </w:tc>
        <w:tc>
          <w:tcPr>
            <w:tcW w:type="dxa" w:w="3685"/>
          </w:tcPr>
          <w:p>
            <w:pPr>
              <w:spacing w:line="300" w:lineRule="auto"/>
            </w:pPr>
            <w:r/>
            <w:r>
              <w:rPr>
                <w:rFonts w:ascii="맑은 고딕" w:hAnsi="맑은 고딕" w:eastAsia="맑은 고딕"/>
                <w:sz w:val="19"/>
              </w:rPr>
              <w:t>BUY (분할 매수) — 확신도 中上</w:t>
            </w:r>
          </w:p>
        </w:tc>
      </w:tr>
      <w:tr>
        <w:tc>
          <w:tcPr>
            <w:tcW w:type="dxa" w:w="1984"/>
          </w:tcPr>
          <w:p>
            <w:pPr>
              <w:spacing w:line="300" w:lineRule="auto"/>
            </w:pPr>
            <w:r/>
            <w:r>
              <w:rPr>
                <w:rFonts w:ascii="맑은 고딕" w:hAnsi="맑은 고딕" w:eastAsia="맑은 고딕"/>
                <w:sz w:val="19"/>
              </w:rPr>
              <w:t>중기 (6~24개월)</w:t>
            </w:r>
          </w:p>
        </w:tc>
        <w:tc>
          <w:tcPr>
            <w:tcW w:type="dxa" w:w="3685"/>
          </w:tcPr>
          <w:p>
            <w:pPr>
              <w:spacing w:line="300" w:lineRule="auto"/>
            </w:pPr>
            <w:r/>
            <w:r>
              <w:rPr>
                <w:rFonts w:ascii="맑은 고딕" w:hAnsi="맑은 고딕" w:eastAsia="맑은 고딕"/>
                <w:sz w:val="19"/>
              </w:rPr>
              <w:t>HOLD — 확신도 中</w:t>
            </w:r>
          </w:p>
        </w:tc>
        <w:tc>
          <w:tcPr>
            <w:tcW w:type="dxa" w:w="3685"/>
          </w:tcPr>
          <w:p>
            <w:pPr>
              <w:spacing w:line="300" w:lineRule="auto"/>
            </w:pPr>
            <w:r/>
            <w:r>
              <w:rPr>
                <w:rFonts w:ascii="맑은 고딕" w:hAnsi="맑은 고딕" w:eastAsia="맑은 고딕"/>
                <w:sz w:val="19"/>
              </w:rPr>
              <w:t>BUY — 확신도 中上</w:t>
            </w:r>
          </w:p>
        </w:tc>
      </w:tr>
      <w:tr>
        <w:tc>
          <w:tcPr>
            <w:tcW w:type="dxa" w:w="1984"/>
          </w:tcPr>
          <w:p>
            <w:pPr>
              <w:spacing w:line="300" w:lineRule="auto"/>
            </w:pPr>
            <w:r/>
            <w:r>
              <w:rPr>
                <w:rFonts w:ascii="맑은 고딕" w:hAnsi="맑은 고딕" w:eastAsia="맑은 고딕"/>
                <w:sz w:val="19"/>
              </w:rPr>
              <w:t>장기 (24개월+)</w:t>
            </w:r>
          </w:p>
        </w:tc>
        <w:tc>
          <w:tcPr>
            <w:tcW w:type="dxa" w:w="3685"/>
          </w:tcPr>
          <w:p>
            <w:pPr>
              <w:spacing w:line="300" w:lineRule="auto"/>
            </w:pPr>
            <w:r/>
            <w:r>
              <w:rPr>
                <w:rFonts w:ascii="맑은 고딕" w:hAnsi="맑은 고딕" w:eastAsia="맑은 고딕"/>
                <w:sz w:val="19"/>
              </w:rPr>
              <w:t>HOLD (편향: 약한 SELL) — 확신도 中下</w:t>
            </w:r>
          </w:p>
        </w:tc>
        <w:tc>
          <w:tcPr>
            <w:tcW w:type="dxa" w:w="3685"/>
          </w:tcPr>
          <w:p>
            <w:pPr>
              <w:spacing w:line="300" w:lineRule="auto"/>
            </w:pPr>
            <w:r/>
            <w:r>
              <w:rPr>
                <w:rFonts w:ascii="맑은 고딕" w:hAnsi="맑은 고딕" w:eastAsia="맑은 고딕"/>
                <w:sz w:val="19"/>
              </w:rPr>
              <w:t>HOLD (편향: 약한 BUY) — 확신도 中</w:t>
            </w:r>
          </w:p>
        </w:tc>
      </w:tr>
    </w:tbl>
    <w:p/>
    <w:p>
      <w:r>
        <w:rPr>
          <w:rFonts w:ascii="맑은 고딕" w:hAnsi="맑은 고딕" w:eastAsia="맑은 고딕"/>
          <w:b/>
          <w:color w:val="1E326E"/>
          <w:sz w:val="26"/>
        </w:rPr>
        <w:t>1-2. 한 문장 요약</w:t>
      </w:r>
    </w:p>
    <w:p>
      <w:pPr>
        <w:spacing w:after="80" w:line="324" w:lineRule="auto"/>
      </w:pPr>
      <w:r>
        <w:rPr>
          <w:rFonts w:ascii="맑은 고딕" w:hAnsi="맑은 고딕" w:eastAsia="맑은 고딕"/>
          <w:b w:val="0"/>
          <w:i w:val="0"/>
          <w:sz w:val="22"/>
        </w:rPr>
        <w:t>사이클 베팅 관점에서는 SK하이닉스를 분할 매수하되 단기 변동성에 대비해 현금 25% 내외를 유지하고, 삼성전자는 적극적인 비중확대를 보류하고 HBM3E 12-Hi NVIDIA 메인 라인 배정과 메모리 영업이익률 정상화를 확인한 뒤에 재진입하는 것이 합리적입니다. 만약 두 종목 중 하나만 선택해야 한다면 SK하이닉스를 권합니다.</w:t>
      </w:r>
    </w:p>
    <w:p>
      <w:r>
        <w:rPr>
          <w:rFonts w:ascii="맑은 고딕" w:hAnsi="맑은 고딕" w:eastAsia="맑은 고딕"/>
          <w:b/>
          <w:color w:val="1E326E"/>
          <w:sz w:val="26"/>
        </w:rPr>
        <w:t>1-3. 가장 강한 단일 트리거</w:t>
      </w:r>
    </w:p>
    <w:p>
      <w:pPr>
        <w:pStyle w:val="ListBullet"/>
        <w:spacing w:after="60" w:line="312" w:lineRule="auto"/>
      </w:pPr>
      <w:r>
        <w:rPr>
          <w:rFonts w:ascii="맑은 고딕" w:hAnsi="맑은 고딕" w:eastAsia="맑은 고딕"/>
          <w:b/>
          <w:sz w:val="21"/>
        </w:rPr>
        <w:t xml:space="preserve">① SK하이닉스 ADR 상장: </w:t>
      </w:r>
      <w:r>
        <w:rPr>
          <w:rFonts w:ascii="맑은 고딕" w:hAnsi="맑은 고딕" w:eastAsia="맑은 고딕"/>
          <w:sz w:val="21"/>
        </w:rPr>
        <w:t xml:space="preserve"> 2026-06-24 SK하이닉스 이사회가 미국 ADR(나스닥) 발행을 공식 결의했습니다. 신주 17.79M주, 조달 규모 최대 ₩45.45조(약 USD 29B), 거래 개시 잠정일은 2026-07-10이며, 한국 기업 사상 최대 ADR offering입니다. 이는 단순한 자금 조달이 아니라 미국 기관 자본 접근성 확대를 통한 멀티플 재평가의 구조적 촉매가 됩니다.</w:t>
      </w:r>
    </w:p>
    <w:p>
      <w:pPr>
        <w:pStyle w:val="ListBullet"/>
        <w:spacing w:after="60" w:line="312" w:lineRule="auto"/>
      </w:pPr>
      <w:r>
        <w:rPr>
          <w:rFonts w:ascii="맑은 고딕" w:hAnsi="맑은 고딕" w:eastAsia="맑은 고딕"/>
          <w:b/>
          <w:sz w:val="21"/>
        </w:rPr>
        <w:t xml:space="preserve">② 마이크론 6/24 빅비트: </w:t>
      </w:r>
      <w:r>
        <w:rPr>
          <w:rFonts w:ascii="맑은 고딕" w:hAnsi="맑은 고딕" w:eastAsia="맑은 고딕"/>
          <w:sz w:val="21"/>
        </w:rPr>
        <w:t xml:space="preserve"> 마이크론 FY26 Q3 매출이 $41.46B로 컨센서스를 +16% 상회했고, HBM4 매출이 $1B를 돌파했으며, HBM 물량이 2027년까지 fully booked 상태임을 공식 인정했습니다. 사이클이 아직 정점이 아님을 마이크론이 직접 입증한 것입니다.</w:t>
      </w:r>
    </w:p>
    <w:p>
      <w:pPr>
        <w:pStyle w:val="ListBullet"/>
        <w:spacing w:after="60" w:line="312" w:lineRule="auto"/>
      </w:pPr>
      <w:r>
        <w:rPr>
          <w:rFonts w:ascii="맑은 고딕" w:hAnsi="맑은 고딕" w:eastAsia="맑은 고딕"/>
          <w:b/>
          <w:sz w:val="21"/>
        </w:rPr>
        <w:t xml:space="preserve">③ 6/26 KOSPI 패닉: </w:t>
      </w:r>
      <w:r>
        <w:rPr>
          <w:rFonts w:ascii="맑은 고딕" w:hAnsi="맑은 고딕" w:eastAsia="맑은 고딕"/>
          <w:sz w:val="21"/>
        </w:rPr>
        <w:t xml:space="preserve"> 2026-06-26 KOSPI가 단일일 -8.18% 급락하며 서킷브레이커가 발동했고 외국인이 ₩2.5조를 순매도했습니다. 삼성 -9.14%, SK하이닉스 -8.36%로 동반 하락했지만, 그 원인은 미국 5월 PCE 4.1% 발표, MSCI 선진국 편입 3년 연속 불발, AI 버블 우려 등 거시·인덱스 이벤트가 결합된 패닉이었습니다. 한국 메모리 펀더멘털 자체의 훼손은 아닙니다.</w:t>
      </w:r>
    </w:p>
    <w:p>
      <w:r>
        <w:rPr>
          <w:rFonts w:ascii="맑은 고딕" w:hAnsi="맑은 고딕" w:eastAsia="맑은 고딕"/>
          <w:b/>
          <w:color w:val="1E326E"/>
          <w:sz w:val="26"/>
        </w:rPr>
        <w:t>1-4. 가장 큰 단일 위험</w:t>
      </w:r>
    </w:p>
    <w:p>
      <w:pPr>
        <w:pStyle w:val="ListBullet"/>
        <w:spacing w:after="60" w:line="312" w:lineRule="auto"/>
      </w:pPr>
      <w:r>
        <w:rPr>
          <w:rFonts w:ascii="맑은 고딕" w:hAnsi="맑은 고딕" w:eastAsia="맑은 고딕"/>
          <w:b/>
          <w:sz w:val="21"/>
        </w:rPr>
        <w:t xml:space="preserve">① NVIDIA 단일고객 집중: </w:t>
      </w:r>
      <w:r>
        <w:rPr>
          <w:rFonts w:ascii="맑은 고딕" w:hAnsi="맑은 고딕" w:eastAsia="맑은 고딕"/>
          <w:sz w:val="21"/>
        </w:rPr>
        <w:t xml:space="preserve"> 한국 양사는 NVIDIA가 HBM 매출의 70% 이상을 차지하는 단일고객 의존 구조에 있습니다. NVIDIA가 가이던스를 컷하거나 빅테크 4사 중 2사 이상이 capex를 동결하면 메모리 수요 전체가 빠르게 흔들립니다.</w:t>
      </w:r>
    </w:p>
    <w:p>
      <w:pPr>
        <w:pStyle w:val="ListBullet"/>
        <w:spacing w:after="60" w:line="312" w:lineRule="auto"/>
      </w:pPr>
      <w:r>
        <w:rPr>
          <w:rFonts w:ascii="맑은 고딕" w:hAnsi="맑은 고딕" w:eastAsia="맑은 고딕"/>
          <w:b/>
          <w:sz w:val="21"/>
        </w:rPr>
        <w:t xml:space="preserve">② 사이클 정점 신호: </w:t>
      </w:r>
      <w:r>
        <w:rPr>
          <w:rFonts w:ascii="맑은 고딕" w:hAnsi="맑은 고딕" w:eastAsia="맑은 고딕"/>
          <w:sz w:val="21"/>
        </w:rPr>
        <w:t xml:space="preserve"> 마이크론 Q4 가이던스에서 "price increase rate meaningful moderation(가격 상승률 의미 있는 둔화)"이 명시되었습니다. SK하이닉스 1Q26 영업이익률 72%는 회사 사상 최고이자 글로벌 반도체 업계에서도 거의 전례 없는 수준으로, 이익률 정점이 주가 정점에 선행할 위험이 있습니다.</w:t>
      </w:r>
    </w:p>
    <w:p>
      <w:pPr>
        <w:pStyle w:val="ListBullet"/>
        <w:spacing w:after="60" w:line="312" w:lineRule="auto"/>
      </w:pPr>
      <w:r>
        <w:rPr>
          <w:rFonts w:ascii="맑은 고딕" w:hAnsi="맑은 고딕" w:eastAsia="맑은 고딕"/>
          <w:b/>
          <w:sz w:val="21"/>
        </w:rPr>
        <w:t xml:space="preserve">③ 삼성 멀티플 부담: </w:t>
      </w:r>
      <w:r>
        <w:rPr>
          <w:rFonts w:ascii="맑은 고딕" w:hAnsi="맑은 고딕" w:eastAsia="맑은 고딕"/>
          <w:sz w:val="21"/>
        </w:rPr>
        <w:t xml:space="preserve"> 삼성전자 trailing PER 54배·PBR 5.6배는 자사 5년 밴드 상단(+2σ)을 크게 초과합니다. 워렌 버핏형 보수 가정으로 산출한 내재가치 Base ₩84,000과 현재가 ₩325,750 사이에는 약 +288%의 괴리가 존재합니다.</w:t>
      </w:r>
    </w:p>
    <w:p>
      <w:r>
        <w:br w:type="page"/>
      </w:r>
    </w:p>
    <w:p>
      <w:r>
        <w:rPr>
          <w:rFonts w:ascii="맑은 고딕" w:hAnsi="맑은 고딕" w:eastAsia="맑은 고딕"/>
          <w:b/>
          <w:color w:val="1E326E"/>
          <w:sz w:val="32"/>
        </w:rPr>
        <w:t>2. 거시 환경 — Fed 매파 전환, 환율, 빅테크 Capex 사이클</w:t>
      </w:r>
    </w:p>
    <w:p>
      <w:r>
        <w:rPr>
          <w:rFonts w:ascii="맑은 고딕" w:hAnsi="맑은 고딕" w:eastAsia="맑은 고딕"/>
          <w:b/>
          <w:color w:val="1E326E"/>
          <w:sz w:val="26"/>
        </w:rPr>
        <w:t>2-1. 통화정책 — 디커플링이 강해지고 있습니다</w:t>
      </w:r>
    </w:p>
    <w:p>
      <w:pPr>
        <w:spacing w:after="80" w:line="324" w:lineRule="auto"/>
      </w:pPr>
      <w:r>
        <w:rPr>
          <w:rFonts w:ascii="맑은 고딕" w:hAnsi="맑은 고딕" w:eastAsia="맑은 고딕"/>
          <w:b w:val="0"/>
          <w:i w:val="0"/>
          <w:sz w:val="21"/>
        </w:rPr>
        <w:t>미국 연방준비제도(Fed)는 2026-06-17 FOMC에서 기준금리를 3.50~3.75%로 4회 연속 동결하면서도 점도표 중간값을 3월의 3.4%에서 3.8%로 큰 폭 상향했습니다. 19명 위원 중 9명이 연내 추가 인상을 예상하는 매파적 동결이었습니다. 한편 한국은행은 6월 금통위에서 기준금리를 2.50%로 8회 연속 동결하며 수도권 주택시장 과열과 금융불균형을 이유로 추가 인상 가능성을 열어두는 매파적 동결을 단행했습니다. 미·한 명목금리 차이가 약 125bp 수준으로 벌어진 상태가 지속되고 있습니다.</w:t>
      </w:r>
    </w:p>
    <w:p>
      <w:r>
        <w:rPr>
          <w:rFonts w:ascii="맑은 고딕" w:hAnsi="맑은 고딕" w:eastAsia="맑은 고딕"/>
          <w:b/>
          <w:color w:val="1E326E"/>
          <w:sz w:val="26"/>
        </w:rPr>
        <w:t>2-2. 환율 — 원화 약세 12개월 -12.7%</w:t>
      </w:r>
    </w:p>
    <w:p>
      <w:pPr>
        <w:spacing w:after="80" w:line="324" w:lineRule="auto"/>
      </w:pPr>
      <w:r>
        <w:rPr>
          <w:rFonts w:ascii="맑은 고딕" w:hAnsi="맑은 고딕" w:eastAsia="맑은 고딕"/>
          <w:b w:val="0"/>
          <w:i w:val="0"/>
          <w:sz w:val="21"/>
        </w:rPr>
        <w:t>원/달러 환율은 2026-06-26 기준 1,538.43원으로 12개월 누적 약 -12.7%, 직전 1개월만 -2.4% 추가 약세가 진행되었습니다. 이 흐름은 두 가지로 작동합니다. 한편으로는 한국 수출 메모리 기업의 USD 매출을 원화로 환산할 때 액수가 부풀려져 단기 실적에 긍정적이지만, 다른 한편으로는 외국인 입장에서 한국 자산의 달러 환산 가치를 깎아 매도 압력을 가속화합니다. 사용자가 질문하신 외국인 순매도의 핵심 가속 요인 중 하나가 바로 이 환율 약세입니다.</w:t>
      </w:r>
    </w:p>
    <w:p>
      <w:r>
        <w:rPr>
          <w:rFonts w:ascii="맑은 고딕" w:hAnsi="맑은 고딕" w:eastAsia="맑은 고딕"/>
          <w:b/>
          <w:color w:val="1E326E"/>
          <w:sz w:val="26"/>
        </w:rPr>
        <w:t>2-3. AI Capex 사이클 — 사상 최대 분출이 진행 중입니다</w:t>
      </w:r>
    </w:p>
    <w:p>
      <w:pPr>
        <w:spacing w:after="80" w:line="324" w:lineRule="auto"/>
      </w:pPr>
      <w:r>
        <w:rPr>
          <w:rFonts w:ascii="맑은 고딕" w:hAnsi="맑은 고딕" w:eastAsia="맑은 고딕"/>
          <w:b w:val="0"/>
          <w:i w:val="0"/>
          <w:sz w:val="21"/>
        </w:rPr>
        <w:t>Microsoft·Alphabet·Amazon·Meta 4사의 2026년 합산 capex는 약 USD 725B로 전년 대비 +77% 증가가 전망되며, 2027년에는 USD 1T를 돌파한다는 시장 컨센서스가 형성되었습니다. 여기에 더해 Sovereign AI(국가 주도 AI 인프라) capex가 USD 100B 이상 신규로 추가되고 있습니다. UAE Stargate 5GW 캠퍼스, 사우디 HUMAIN의 NVIDIA 60만 가속기 확보 등이 이미 진행 중입니다.</w:t>
      </w:r>
    </w:p>
    <w:p>
      <w:pPr>
        <w:spacing w:after="80" w:line="324" w:lineRule="auto"/>
      </w:pPr>
      <w:r>
        <w:rPr>
          <w:rFonts w:ascii="맑은 고딕" w:hAnsi="맑은 고딕" w:eastAsia="맑은 고딕"/>
          <w:b w:val="0"/>
          <w:i w:val="0"/>
          <w:sz w:val="21"/>
        </w:rPr>
        <w:t>한국 메모리 양사는 이 capex의 직접적인 수혜자입니다. HBM은 GPU 한 장당 6~8 stack이 필요하고, GPU 출하 증가가 그대로 HBM 수요로 전환되는 구조입니다. 또한 미국 BIS의 HBM 수출통제로 한국 양사와 마이크론의 3강 체제가 사실상 고착화되어 있습니다.</w:t>
      </w:r>
    </w:p>
    <w:p>
      <w:r>
        <w:rPr>
          <w:rFonts w:ascii="맑은 고딕" w:hAnsi="맑은 고딕" w:eastAsia="맑은 고딕"/>
          <w:b/>
          <w:color w:val="1E326E"/>
          <w:sz w:val="26"/>
        </w:rPr>
        <w:t>2-4. 반도체 수출 — 사상 최대 갱신 중</w:t>
      </w:r>
    </w:p>
    <w:p>
      <w:pPr>
        <w:spacing w:after="80" w:line="324" w:lineRule="auto"/>
      </w:pPr>
      <w:r>
        <w:rPr>
          <w:rFonts w:ascii="맑은 고딕" w:hAnsi="맑은 고딕" w:eastAsia="맑은 고딕"/>
          <w:b w:val="0"/>
          <w:i w:val="0"/>
          <w:sz w:val="21"/>
        </w:rPr>
        <w:t>한국 2026년 5월 반도체 수출은 USD 37.16B로 전년 동기 대비 +169.4%, 전체 수출의 41.7%를 차지하며 사상 최대치를 기록했습니다. 16개월 연속 무역흑자(USD 26.95B)와 함께 한국 경상수지의 핵심 버팀목 역할을 하고 있습니다.</w:t>
      </w:r>
    </w:p>
    <w:tbl>
      <w:tblPr>
        <w:tblW w:type="auto" w:w="0"/>
        <w:tblLayout w:type="fixed"/>
        <w:tblLook w:firstColumn="1" w:firstRow="1" w:lastColumn="0" w:lastRow="0" w:noHBand="0" w:noVBand="1" w:val="04A0"/>
      </w:tblPr>
      <w:tblGrid>
        <w:gridCol w:w="9354"/>
      </w:tblGrid>
      <w:tr>
        <w:tc>
          <w:tcPr>
            <w:tcW w:type="dxa" w:w="9354"/>
            <w:shd w:val="clear" w:color="auto" w:fill="EEF4FF"/>
          </w:tcPr>
          <w:p>
            <w:pPr>
              <w:spacing w:after="80"/>
            </w:pPr>
            <w:r>
              <w:rPr>
                <w:rFonts w:ascii="맑은 고딕" w:hAnsi="맑은 고딕" w:eastAsia="맑은 고딕"/>
                <w:b/>
                <w:color w:val="1E326E"/>
                <w:sz w:val="24"/>
              </w:rPr>
              <w:t>거시 요약</w:t>
            </w:r>
          </w:p>
          <w:p>
            <w:pPr>
              <w:spacing w:after="60" w:line="312" w:lineRule="auto"/>
            </w:pPr>
            <w:r>
              <w:rPr>
                <w:rFonts w:ascii="맑은 고딕" w:hAnsi="맑은 고딕" w:eastAsia="맑은 고딕"/>
                <w:sz w:val="21"/>
              </w:rPr>
              <w:t>거시는 긴축·강달러로 역풍이지만, 산업 사이클은 사상 최강 호황이라는 강한 디커플링이 종목 변동성을 키우고 있습니다.</w:t>
            </w:r>
          </w:p>
          <w:p>
            <w:pPr>
              <w:spacing w:after="60" w:line="312" w:lineRule="auto"/>
            </w:pPr>
            <w:r>
              <w:rPr>
                <w:rFonts w:ascii="맑은 고딕" w:hAnsi="맑은 고딕" w:eastAsia="맑은 고딕"/>
                <w:sz w:val="21"/>
              </w:rPr>
              <w:t>이 디커플링이 종목 변동성을 더 키울 수 있다는 점을 투자자는 인지해야 합니다.</w:t>
            </w:r>
          </w:p>
        </w:tc>
      </w:tr>
    </w:tbl>
    <w:p/>
    <w:p>
      <w:r>
        <w:br w:type="page"/>
      </w:r>
    </w:p>
    <w:p>
      <w:r>
        <w:rPr>
          <w:rFonts w:ascii="맑은 고딕" w:hAnsi="맑은 고딕" w:eastAsia="맑은 고딕"/>
          <w:b/>
          <w:color w:val="1E326E"/>
          <w:sz w:val="32"/>
        </w:rPr>
        <w:t>3. 산업·미시 — DRAM·HBM 사이클, 마이크론 빅비트, 한국 3강 구도</w:t>
      </w:r>
    </w:p>
    <w:p>
      <w:r>
        <w:rPr>
          <w:rFonts w:ascii="맑은 고딕" w:hAnsi="맑은 고딕" w:eastAsia="맑은 고딕"/>
          <w:b/>
          <w:color w:val="1E326E"/>
          <w:sz w:val="26"/>
        </w:rPr>
        <w:t>3-1. 1Q26 DRAM 산업 매출 QoQ +81% — 슈퍼사이클 중기</w:t>
      </w:r>
    </w:p>
    <w:p>
      <w:pPr>
        <w:spacing w:after="80" w:line="324" w:lineRule="auto"/>
      </w:pPr>
      <w:r>
        <w:rPr>
          <w:rFonts w:ascii="맑은 고딕" w:hAnsi="맑은 고딕" w:eastAsia="맑은 고딕"/>
          <w:b w:val="0"/>
          <w:i w:val="0"/>
          <w:sz w:val="21"/>
        </w:rPr>
        <w:t>TrendForce에 따르면 2026년 1분기 글로벌 DRAM 산업 매출은 전 분기 대비 +81% 증가했습니다. 삼성전자 매출은 USD 37.32B(+93.4% QoQ)로 점유율 38.5%, SK하이닉스는 USD 27.98B(+62.5% QoQ)로 28.8%, 마이크론은 USD 21.75B(+81.6% QoQ)로 22.4%를 기록했습니다. 2분기 컨벤셔널 DRAM 계약가는 추가로 +58~63% QoQ 상승이 전망되며, 삼성전자 1Q26 ASP는 +146%, SK하이닉스는 mid-60%대 상승을 회사 차원에서 가이던스했습니다.</w:t>
      </w:r>
    </w:p>
    <w:p>
      <w:r>
        <w:rPr>
          <w:rFonts w:ascii="맑은 고딕" w:hAnsi="맑은 고딕" w:eastAsia="맑은 고딕"/>
          <w:b/>
          <w:color w:val="1E326E"/>
          <w:sz w:val="26"/>
        </w:rPr>
        <w:t>3-2. HBM 점유율 — SK 우위 + 삼성 추격 + 마이크론 안정 진입</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shd w:val="clear" w:color="auto" w:fill="1E3270"/>
          </w:tcPr>
          <w:p>
            <w:pPr>
              <w:jc w:val="center"/>
            </w:pPr>
            <w:r/>
            <w:r>
              <w:rPr>
                <w:rFonts w:ascii="맑은 고딕" w:hAnsi="맑은 고딕" w:eastAsia="맑은 고딕"/>
                <w:b/>
                <w:color w:val="FFFFFF"/>
                <w:sz w:val="20"/>
              </w:rPr>
              <w:t>기업</w:t>
            </w:r>
          </w:p>
        </w:tc>
        <w:tc>
          <w:tcPr>
            <w:tcW w:type="dxa" w:w="1984"/>
            <w:shd w:val="clear" w:color="auto" w:fill="1E3270"/>
          </w:tcPr>
          <w:p>
            <w:pPr>
              <w:jc w:val="center"/>
            </w:pPr>
            <w:r/>
            <w:r>
              <w:rPr>
                <w:rFonts w:ascii="맑은 고딕" w:hAnsi="맑은 고딕" w:eastAsia="맑은 고딕"/>
                <w:b/>
                <w:color w:val="FFFFFF"/>
                <w:sz w:val="20"/>
              </w:rPr>
              <w:t>2025년 HBM 점유율</w:t>
            </w:r>
          </w:p>
        </w:tc>
        <w:tc>
          <w:tcPr>
            <w:tcW w:type="dxa" w:w="2835"/>
            <w:shd w:val="clear" w:color="auto" w:fill="1E3270"/>
          </w:tcPr>
          <w:p>
            <w:pPr>
              <w:jc w:val="center"/>
            </w:pPr>
            <w:r/>
            <w:r>
              <w:rPr>
                <w:rFonts w:ascii="맑은 고딕" w:hAnsi="맑은 고딕" w:eastAsia="맑은 고딕"/>
                <w:b/>
                <w:color w:val="FFFFFF"/>
                <w:sz w:val="20"/>
              </w:rPr>
              <w:t>2026년 HBM 점유율</w:t>
            </w:r>
          </w:p>
        </w:tc>
        <w:tc>
          <w:tcPr>
            <w:tcW w:type="dxa" w:w="2835"/>
            <w:shd w:val="clear" w:color="auto" w:fill="1E3270"/>
          </w:tcPr>
          <w:p>
            <w:pPr>
              <w:jc w:val="center"/>
            </w:pPr>
            <w:r/>
            <w:r>
              <w:rPr>
                <w:rFonts w:ascii="맑은 고딕" w:hAnsi="맑은 고딕" w:eastAsia="맑은 고딕"/>
                <w:b/>
                <w:color w:val="FFFFFF"/>
                <w:sz w:val="20"/>
              </w:rPr>
              <w:t>HBM4 NVIDIA Rubin 배분 (UBS 추정)</w:t>
            </w:r>
          </w:p>
        </w:tc>
      </w:tr>
      <w:tr>
        <w:tc>
          <w:tcPr>
            <w:tcW w:type="dxa" w:w="1701"/>
          </w:tcPr>
          <w:p>
            <w:pPr>
              <w:spacing w:line="300" w:lineRule="auto"/>
            </w:pPr>
            <w:r/>
            <w:r>
              <w:rPr>
                <w:rFonts w:ascii="맑은 고딕" w:hAnsi="맑은 고딕" w:eastAsia="맑은 고딕"/>
                <w:sz w:val="19"/>
              </w:rPr>
              <w:t>SK하이닉스</w:t>
            </w:r>
          </w:p>
        </w:tc>
        <w:tc>
          <w:tcPr>
            <w:tcW w:type="dxa" w:w="1984"/>
          </w:tcPr>
          <w:p>
            <w:pPr>
              <w:spacing w:line="300" w:lineRule="auto"/>
            </w:pPr>
            <w:r/>
            <w:r>
              <w:rPr>
                <w:rFonts w:ascii="맑은 고딕" w:hAnsi="맑은 고딕" w:eastAsia="맑은 고딕"/>
                <w:sz w:val="19"/>
              </w:rPr>
              <w:t>약 59%</w:t>
            </w:r>
          </w:p>
        </w:tc>
        <w:tc>
          <w:tcPr>
            <w:tcW w:type="dxa" w:w="2835"/>
          </w:tcPr>
          <w:p>
            <w:pPr>
              <w:spacing w:line="300" w:lineRule="auto"/>
            </w:pPr>
            <w:r/>
            <w:r>
              <w:rPr>
                <w:rFonts w:ascii="맑은 고딕" w:hAnsi="맑은 고딕" w:eastAsia="맑은 고딕"/>
                <w:sz w:val="19"/>
              </w:rPr>
              <w:t>약 50% (HBM3E 단계 경쟁사 추격)</w:t>
            </w:r>
          </w:p>
        </w:tc>
        <w:tc>
          <w:tcPr>
            <w:tcW w:type="dxa" w:w="2835"/>
          </w:tcPr>
          <w:p>
            <w:pPr>
              <w:spacing w:line="300" w:lineRule="auto"/>
            </w:pPr>
            <w:r/>
            <w:r>
              <w:rPr>
                <w:rFonts w:ascii="맑은 고딕" w:hAnsi="맑은 고딕" w:eastAsia="맑은 고딕"/>
                <w:sz w:val="19"/>
              </w:rPr>
              <w:t>60~70% (세계 최초 양산 2026-02)</w:t>
            </w:r>
          </w:p>
        </w:tc>
      </w:tr>
      <w:tr>
        <w:tc>
          <w:tcPr>
            <w:tcW w:type="dxa" w:w="1701"/>
          </w:tcPr>
          <w:p>
            <w:pPr>
              <w:spacing w:line="300" w:lineRule="auto"/>
            </w:pPr>
            <w:r/>
            <w:r>
              <w:rPr>
                <w:rFonts w:ascii="맑은 고딕" w:hAnsi="맑은 고딕" w:eastAsia="맑은 고딕"/>
                <w:sz w:val="19"/>
              </w:rPr>
              <w:t>삼성전자</w:t>
            </w:r>
          </w:p>
        </w:tc>
        <w:tc>
          <w:tcPr>
            <w:tcW w:type="dxa" w:w="1984"/>
          </w:tcPr>
          <w:p>
            <w:pPr>
              <w:spacing w:line="300" w:lineRule="auto"/>
            </w:pPr>
            <w:r/>
            <w:r>
              <w:rPr>
                <w:rFonts w:ascii="맑은 고딕" w:hAnsi="맑은 고딕" w:eastAsia="맑은 고딕"/>
                <w:sz w:val="19"/>
              </w:rPr>
              <w:t>약 20%</w:t>
            </w:r>
          </w:p>
        </w:tc>
        <w:tc>
          <w:tcPr>
            <w:tcW w:type="dxa" w:w="2835"/>
          </w:tcPr>
          <w:p>
            <w:pPr>
              <w:spacing w:line="300" w:lineRule="auto"/>
            </w:pPr>
            <w:r/>
            <w:r>
              <w:rPr>
                <w:rFonts w:ascii="맑은 고딕" w:hAnsi="맑은 고딕" w:eastAsia="맑은 고딕"/>
                <w:sz w:val="19"/>
              </w:rPr>
              <w:t>약 28% (HBM3E 12-Hi qual 통과 회복)</w:t>
            </w:r>
          </w:p>
        </w:tc>
        <w:tc>
          <w:tcPr>
            <w:tcW w:type="dxa" w:w="2835"/>
          </w:tcPr>
          <w:p>
            <w:pPr>
              <w:spacing w:line="300" w:lineRule="auto"/>
            </w:pPr>
            <w:r/>
            <w:r>
              <w:rPr>
                <w:rFonts w:ascii="맑은 고딕" w:hAnsi="맑은 고딕" w:eastAsia="맑은 고딕"/>
                <w:sz w:val="19"/>
              </w:rPr>
              <w:t>25~30%</w:t>
            </w:r>
          </w:p>
        </w:tc>
      </w:tr>
      <w:tr>
        <w:tc>
          <w:tcPr>
            <w:tcW w:type="dxa" w:w="1701"/>
          </w:tcPr>
          <w:p>
            <w:pPr>
              <w:spacing w:line="300" w:lineRule="auto"/>
            </w:pPr>
            <w:r/>
            <w:r>
              <w:rPr>
                <w:rFonts w:ascii="맑은 고딕" w:hAnsi="맑은 고딕" w:eastAsia="맑은 고딕"/>
                <w:sz w:val="19"/>
              </w:rPr>
              <w:t>마이크론</w:t>
            </w:r>
          </w:p>
        </w:tc>
        <w:tc>
          <w:tcPr>
            <w:tcW w:type="dxa" w:w="1984"/>
          </w:tcPr>
          <w:p>
            <w:pPr>
              <w:spacing w:line="300" w:lineRule="auto"/>
            </w:pPr>
            <w:r/>
            <w:r>
              <w:rPr>
                <w:rFonts w:ascii="맑은 고딕" w:hAnsi="맑은 고딕" w:eastAsia="맑은 고딕"/>
                <w:sz w:val="19"/>
              </w:rPr>
              <w:t>약 21%</w:t>
            </w:r>
          </w:p>
        </w:tc>
        <w:tc>
          <w:tcPr>
            <w:tcW w:type="dxa" w:w="2835"/>
          </w:tcPr>
          <w:p>
            <w:pPr>
              <w:spacing w:line="300" w:lineRule="auto"/>
            </w:pPr>
            <w:r/>
            <w:r>
              <w:rPr>
                <w:rFonts w:ascii="맑은 고딕" w:hAnsi="맑은 고딕" w:eastAsia="맑은 고딕"/>
                <w:sz w:val="19"/>
              </w:rPr>
              <w:t>약 22%</w:t>
            </w:r>
          </w:p>
        </w:tc>
        <w:tc>
          <w:tcPr>
            <w:tcW w:type="dxa" w:w="2835"/>
          </w:tcPr>
          <w:p>
            <w:pPr>
              <w:spacing w:line="300" w:lineRule="auto"/>
            </w:pPr>
            <w:r/>
            <w:r>
              <w:rPr>
                <w:rFonts w:ascii="맑은 고딕" w:hAnsi="맑은 고딕" w:eastAsia="맑은 고딕"/>
                <w:sz w:val="19"/>
              </w:rPr>
              <w:t>잔여 (10% 내외)</w:t>
            </w:r>
          </w:p>
        </w:tc>
      </w:tr>
    </w:tbl>
    <w:p/>
    <w:p>
      <w:pPr>
        <w:spacing w:after="80" w:line="324" w:lineRule="auto"/>
      </w:pPr>
      <w:r>
        <w:rPr>
          <w:rFonts w:ascii="맑은 고딕" w:hAnsi="맑은 고딕" w:eastAsia="맑은 고딕"/>
          <w:b w:val="0"/>
          <w:i w:val="0"/>
          <w:sz w:val="21"/>
        </w:rPr>
        <w:t>2026년 SK하이닉스 HBM3E 점유율이 59%에서 50%로 일부 하락한 것은 삼성·마이크론의 추격 결과입니다. 다만 차세대인 HBM4 단계에서는 SK하이닉스가 세계 최초로 2026년 2월에 양산을 개시했고, NVIDIA Rubin(R200/R300) HBM4 배분의 60~70%를 선점한 것으로 UBS가 추정하고 있어, HBM 세대 전환과 함께 SK 우위가 다시 강화될 가능성이 큽니다.</w:t>
      </w:r>
    </w:p>
    <w:p>
      <w:r>
        <w:rPr>
          <w:rFonts w:ascii="맑은 고딕" w:hAnsi="맑은 고딕" w:eastAsia="맑은 고딕"/>
          <w:b/>
          <w:color w:val="1E326E"/>
          <w:sz w:val="26"/>
        </w:rPr>
        <w:t>3-3. 마이크론 1γ DRAM — 한국 양사의 "영구 공정 우위" 가정이 흔들립니다</w:t>
      </w:r>
    </w:p>
    <w:p>
      <w:pPr>
        <w:spacing w:after="80" w:line="324" w:lineRule="auto"/>
      </w:pPr>
      <w:r>
        <w:rPr>
          <w:rFonts w:ascii="맑은 고딕" w:hAnsi="맑은 고딕" w:eastAsia="맑은 고딕"/>
          <w:b w:val="0"/>
          <w:i w:val="0"/>
          <w:sz w:val="21"/>
        </w:rPr>
        <w:t>마이크론의 1γ(1-gamma) DRAM은 EUV를 적용한 신노드로, 한국 양사(삼성 1c, SK하이닉스 1c)와 동등 또는 일부 선행이라는 평가가 2026년 들어 다수 등장하고 있습니다. 사용자께서 "마이크론은 통상 삼·하이닉스보다 기술이 한 단계 뒤처진다"고 알고 계신 통념은 HBM 분야에서만 부분적으로 사실이며, 컨벤셔널 DRAM 본원 노드에서는 더 이상 그대로 성립하지 않습니다. 이는 한국 양사의 장기 가격 결정력에 미묘한 약화 신호로 작용할 수 있습니다.</w:t>
      </w:r>
    </w:p>
    <w:p>
      <w:r>
        <w:rPr>
          <w:rFonts w:ascii="맑은 고딕" w:hAnsi="맑은 고딕" w:eastAsia="맑은 고딕"/>
          <w:b/>
          <w:color w:val="1E326E"/>
          <w:sz w:val="26"/>
        </w:rPr>
        <w:t>3-4. 마이크론 빅비트의 진정한 의미</w:t>
      </w:r>
    </w:p>
    <w:p>
      <w:pPr>
        <w:spacing w:after="80" w:line="324" w:lineRule="auto"/>
      </w:pPr>
      <w:r>
        <w:rPr>
          <w:rFonts w:ascii="맑은 고딕" w:hAnsi="맑은 고딕" w:eastAsia="맑은 고딕"/>
          <w:b w:val="0"/>
          <w:i w:val="0"/>
          <w:sz w:val="21"/>
        </w:rPr>
        <w:t>마이크론은 2026-06-24 FY26 Q3 실적에서 매출 USD 41.46B(컨센서스 USD 35.69B, +16.17% 서프라이즈), 조정 EPS USD 25.11(컨센서스 USD 20.49)을 발표했고 주가는 +14.6% 급등했습니다. HBM4 매출이 USD 1B를 돌파했으며, HBM3E·HBM4 모두 2027년까지 fully booked 상태이고 수요는 2028년까지 확장된다고 밝혔습니다.</w:t>
      </w:r>
    </w:p>
    <w:p>
      <w:pPr>
        <w:spacing w:after="80" w:line="324" w:lineRule="auto"/>
      </w:pPr>
      <w:r>
        <w:rPr>
          <w:rFonts w:ascii="맑은 고딕" w:hAnsi="맑은 고딕" w:eastAsia="맑은 고딕"/>
          <w:b/>
          <w:i w:val="0"/>
          <w:sz w:val="21"/>
        </w:rPr>
        <w:t>사용자께서 던지신 핵심 질문 — "마이크론이 강하다면 삼·하이닉스는 더 강할 것"이라는 가설 — 은 두 가지 측면에서 평가해야 합니다.</w:t>
      </w:r>
    </w:p>
    <w:p>
      <w:pPr>
        <w:pStyle w:val="ListBullet"/>
        <w:spacing w:after="60" w:line="312" w:lineRule="auto"/>
      </w:pPr>
      <w:r>
        <w:rPr>
          <w:rFonts w:ascii="맑은 고딕" w:hAnsi="맑은 고딕" w:eastAsia="맑은 고딕"/>
          <w:b/>
          <w:sz w:val="21"/>
        </w:rPr>
        <w:t xml:space="preserve">가설의 옳은 부분: </w:t>
      </w:r>
      <w:r>
        <w:rPr>
          <w:rFonts w:ascii="맑은 고딕" w:hAnsi="맑은 고딕" w:eastAsia="맑은 고딕"/>
          <w:sz w:val="21"/>
        </w:rPr>
        <w:t xml:space="preserve"> 1분기 DRAM 산업 매출이 +81% QoQ로 동반 상승한 것은 세 회사 모두에 작용하는 ASP rally입니다. SK하이닉스 OPM 72%, 삼성전자 1Q OP ₩57.2조가 이를 증명합니다. HBM 점유율과 OPM이 더 높은 SK·삼성이 더 큰 레버리지를 가지는 것은 사실입니다.</w:t>
      </w:r>
    </w:p>
    <w:p>
      <w:pPr>
        <w:pStyle w:val="ListBullet"/>
        <w:spacing w:after="60" w:line="312" w:lineRule="auto"/>
      </w:pPr>
      <w:r>
        <w:rPr>
          <w:rFonts w:ascii="맑은 고딕" w:hAnsi="맑은 고딕" w:eastAsia="맑은 고딕"/>
          <w:b/>
          <w:sz w:val="21"/>
        </w:rPr>
        <w:t xml:space="preserve">가설의 한계: </w:t>
      </w:r>
      <w:r>
        <w:rPr>
          <w:rFonts w:ascii="맑은 고딕" w:hAnsi="맑은 고딕" w:eastAsia="맑은 고딕"/>
          <w:sz w:val="21"/>
        </w:rPr>
        <w:t xml:space="preserve"> 마이크론 가이던스에 포함된 "price increase rate meaningful moderation(가격 상승률 의미 있는 둔화)" 발언은 ASP YoY가 정점을 통과하기 시작했음을 시사합니다. 또한 마이크론 매출 상향의 일부는 미국 정부 CHIPS Act 보조금과 Sovereign AI 우선 sourcing 같은 마이크론 단독 점유율 회복 요인이며, 이 부분은 zero-sum이라 한국 양사로 그대로 전이되지 않습니다. 그리고 1γ EUV 동등화는 마이크론과 한국 양사의 마진 격차가 줄어들고 있음을 의미합니다.</w:t>
      </w:r>
    </w:p>
    <w:p>
      <w:pPr>
        <w:spacing w:after="80" w:line="324" w:lineRule="auto"/>
      </w:pPr>
      <w:r>
        <w:rPr>
          <w:rFonts w:ascii="맑은 고딕" w:hAnsi="맑은 고딕" w:eastAsia="맑은 고딕"/>
          <w:b w:val="0"/>
          <w:i w:val="0"/>
          <w:sz w:val="21"/>
        </w:rPr>
        <w:t>결론적으로 "삼·하이닉스가 더 강할 것"이라는 가설은 단기 1~2분기에는 강하게 지지되지만, 동시에 "사이클 정점이 가까워지는 신호"로도 해석되어야 합니다. 단순히 마이크론 빅비트를 BUY 신호로만 받아들이는 것은 위험합니다.</w:t>
      </w:r>
    </w:p>
    <w:p>
      <w:r>
        <w:rPr>
          <w:rFonts w:ascii="맑은 고딕" w:hAnsi="맑은 고딕" w:eastAsia="맑은 고딕"/>
          <w:b/>
          <w:color w:val="1E326E"/>
          <w:sz w:val="26"/>
        </w:rPr>
        <w:t>3-5. 위협 — 중국 CXMT 추격과 NAND 정점</w:t>
      </w:r>
    </w:p>
    <w:p>
      <w:pPr>
        <w:spacing w:after="80" w:line="324" w:lineRule="auto"/>
      </w:pPr>
      <w:r>
        <w:rPr>
          <w:rFonts w:ascii="맑은 고딕" w:hAnsi="맑은 고딕" w:eastAsia="맑은 고딕"/>
          <w:b w:val="0"/>
          <w:i w:val="0"/>
          <w:sz w:val="21"/>
        </w:rPr>
        <w:t>CXMT(중국)는 2026년 1분기에 DDR5-8000과 LPDDR5X-10667 양산을 시작했고, 2026년 말까지 월 350K wafer 캐파를 목표로 하고 있습니다. 이는 글로벌 3위 wafer 캐파 진입 수준이며, HBM3는 2026년 양산이 계획되어 있습니다. 다만 HBM4 기준 SK·삼성 대비 여전히 2~3년 격차가 있고, 미국 BIS의 HBM 장비 수출통제로 EUV 도입이 지연되어 있어 단기 가격 결정력은 한국 양사가 유지할 것으로 보입니다.</w:t>
      </w:r>
    </w:p>
    <w:p>
      <w:pPr>
        <w:spacing w:after="80" w:line="324" w:lineRule="auto"/>
      </w:pPr>
      <w:r>
        <w:rPr>
          <w:rFonts w:ascii="맑은 고딕" w:hAnsi="맑은 고딕" w:eastAsia="맑은 고딕"/>
          <w:b w:val="0"/>
          <w:i w:val="0"/>
          <w:sz w:val="21"/>
        </w:rPr>
        <w:t>YMTC는 294단 NAND(Computex 2026 공개)와 우한 Phase III fab 양산을 가속화하여 2026년 말까지 글로벌 NAND 점유율 15% 진입을 목표로 합니다. 이에 대응하여 SK하이닉스는 321단 QLC NAND를 세계 최초로 양산하고 있으며, 삼성전자는 V9 290단대 양산을 진행 중입니다.</w:t>
      </w:r>
    </w:p>
    <w:p>
      <w:r>
        <w:br w:type="page"/>
      </w:r>
    </w:p>
    <w:p>
      <w:r>
        <w:rPr>
          <w:rFonts w:ascii="맑은 고딕" w:hAnsi="맑은 고딕" w:eastAsia="맑은 고딕"/>
          <w:b/>
          <w:color w:val="1E326E"/>
          <w:sz w:val="32"/>
        </w:rPr>
        <w:t>4. 밸류에이션 — 멀티플 밴드, 외국인 수급, ADR 재평가 시나리오</w:t>
      </w:r>
    </w:p>
    <w:p>
      <w:r>
        <w:rPr>
          <w:rFonts w:ascii="맑은 고딕" w:hAnsi="맑은 고딕" w:eastAsia="맑은 고딕"/>
          <w:b/>
          <w:color w:val="1E326E"/>
          <w:sz w:val="26"/>
        </w:rPr>
        <w:t>4-1. 현재 멀티플 vs 자사 5년 밴드</w:t>
      </w:r>
    </w:p>
    <w:tbl>
      <w:tblPr>
        <w:tblStyle w:val="LightGrid-Accent1"/>
        <w:tblW w:type="auto" w:w="0"/>
        <w:tblLook w:firstColumn="1" w:firstRow="1" w:lastColumn="0" w:lastRow="0" w:noHBand="0" w:noVBand="1" w:val="04A0"/>
      </w:tblPr>
      <w:tblGrid>
        <w:gridCol w:w="3324"/>
        <w:gridCol w:w="3324"/>
        <w:gridCol w:w="3324"/>
      </w:tblGrid>
      <w:tr>
        <w:tc>
          <w:tcPr>
            <w:tcW w:type="dxa" w:w="2268"/>
            <w:shd w:val="clear" w:color="auto" w:fill="1E3270"/>
          </w:tcPr>
          <w:p>
            <w:pPr>
              <w:jc w:val="center"/>
            </w:pPr>
            <w:r/>
            <w:r>
              <w:rPr>
                <w:rFonts w:ascii="맑은 고딕" w:hAnsi="맑은 고딕" w:eastAsia="맑은 고딕"/>
                <w:b/>
                <w:color w:val="FFFFFF"/>
                <w:sz w:val="20"/>
              </w:rPr>
              <w:t>지표</w:t>
            </w:r>
          </w:p>
        </w:tc>
        <w:tc>
          <w:tcPr>
            <w:tcW w:type="dxa" w:w="3118"/>
            <w:shd w:val="clear" w:color="auto" w:fill="1E3270"/>
          </w:tcPr>
          <w:p>
            <w:pPr>
              <w:jc w:val="center"/>
            </w:pPr>
            <w:r/>
            <w:r>
              <w:rPr>
                <w:rFonts w:ascii="맑은 고딕" w:hAnsi="맑은 고딕" w:eastAsia="맑은 고딕"/>
                <w:b/>
                <w:color w:val="FFFFFF"/>
                <w:sz w:val="20"/>
              </w:rPr>
              <w:t>삼성전자 (₩325,750)</w:t>
            </w:r>
          </w:p>
        </w:tc>
        <w:tc>
          <w:tcPr>
            <w:tcW w:type="dxa" w:w="3118"/>
            <w:shd w:val="clear" w:color="auto" w:fill="1E3270"/>
          </w:tcPr>
          <w:p>
            <w:pPr>
              <w:jc w:val="center"/>
            </w:pPr>
            <w:r/>
            <w:r>
              <w:rPr>
                <w:rFonts w:ascii="맑은 고딕" w:hAnsi="맑은 고딕" w:eastAsia="맑은 고딕"/>
                <w:b/>
                <w:color w:val="FFFFFF"/>
                <w:sz w:val="20"/>
              </w:rPr>
              <w:t>SK하이닉스 (₩2,673,000)</w:t>
            </w:r>
          </w:p>
        </w:tc>
      </w:tr>
      <w:tr>
        <w:tc>
          <w:tcPr>
            <w:tcW w:type="dxa" w:w="2268"/>
          </w:tcPr>
          <w:p>
            <w:pPr>
              <w:spacing w:line="300" w:lineRule="auto"/>
            </w:pPr>
            <w:r/>
            <w:r>
              <w:rPr>
                <w:rFonts w:ascii="맑은 고딕" w:hAnsi="맑은 고딕" w:eastAsia="맑은 고딕"/>
                <w:sz w:val="19"/>
              </w:rPr>
              <w:t>Trailing PER</w:t>
            </w:r>
          </w:p>
        </w:tc>
        <w:tc>
          <w:tcPr>
            <w:tcW w:type="dxa" w:w="3118"/>
          </w:tcPr>
          <w:p>
            <w:pPr>
              <w:spacing w:line="300" w:lineRule="auto"/>
            </w:pPr>
            <w:r/>
            <w:r>
              <w:rPr>
                <w:rFonts w:ascii="맑은 고딕" w:hAnsi="맑은 고딕" w:eastAsia="맑은 고딕"/>
                <w:sz w:val="19"/>
              </w:rPr>
              <w:t>약 54배 (밴드 상단 +2σ 초과)</w:t>
            </w:r>
          </w:p>
        </w:tc>
        <w:tc>
          <w:tcPr>
            <w:tcW w:type="dxa" w:w="3118"/>
          </w:tcPr>
          <w:p>
            <w:pPr>
              <w:spacing w:line="300" w:lineRule="auto"/>
            </w:pPr>
            <w:r/>
            <w:r>
              <w:rPr>
                <w:rFonts w:ascii="맑은 고딕" w:hAnsi="맑은 고딕" w:eastAsia="맑은 고딕"/>
                <w:sz w:val="19"/>
              </w:rPr>
              <w:t>사이클 특성상 의미 낮음</w:t>
            </w:r>
          </w:p>
        </w:tc>
      </w:tr>
      <w:tr>
        <w:tc>
          <w:tcPr>
            <w:tcW w:type="dxa" w:w="2268"/>
          </w:tcPr>
          <w:p>
            <w:pPr>
              <w:spacing w:line="300" w:lineRule="auto"/>
            </w:pPr>
            <w:r/>
            <w:r>
              <w:rPr>
                <w:rFonts w:ascii="맑은 고딕" w:hAnsi="맑은 고딕" w:eastAsia="맑은 고딕"/>
                <w:sz w:val="19"/>
              </w:rPr>
              <w:t>Forward PER 2026E</w:t>
            </w:r>
          </w:p>
        </w:tc>
        <w:tc>
          <w:tcPr>
            <w:tcW w:type="dxa" w:w="3118"/>
          </w:tcPr>
          <w:p>
            <w:pPr>
              <w:spacing w:line="300" w:lineRule="auto"/>
            </w:pPr>
            <w:r/>
            <w:r>
              <w:rPr>
                <w:rFonts w:ascii="맑은 고딕" w:hAnsi="맑은 고딕" w:eastAsia="맑은 고딕"/>
                <w:sz w:val="19"/>
              </w:rPr>
              <w:t>확인 불가 (컨센서스 보완 필요)</w:t>
            </w:r>
          </w:p>
        </w:tc>
        <w:tc>
          <w:tcPr>
            <w:tcW w:type="dxa" w:w="3118"/>
          </w:tcPr>
          <w:p>
            <w:pPr>
              <w:spacing w:line="300" w:lineRule="auto"/>
            </w:pPr>
            <w:r/>
            <w:r>
              <w:rPr>
                <w:rFonts w:ascii="맑은 고딕" w:hAnsi="맑은 고딕" w:eastAsia="맑은 고딕"/>
                <w:sz w:val="19"/>
              </w:rPr>
              <w:t>약 6.9배 (밴드 하단)</w:t>
            </w:r>
          </w:p>
        </w:tc>
      </w:tr>
      <w:tr>
        <w:tc>
          <w:tcPr>
            <w:tcW w:type="dxa" w:w="2268"/>
          </w:tcPr>
          <w:p>
            <w:pPr>
              <w:spacing w:line="300" w:lineRule="auto"/>
            </w:pPr>
            <w:r/>
            <w:r>
              <w:rPr>
                <w:rFonts w:ascii="맑은 고딕" w:hAnsi="맑은 고딕" w:eastAsia="맑은 고딕"/>
                <w:sz w:val="19"/>
              </w:rPr>
              <w:t>PBR</w:t>
            </w:r>
          </w:p>
        </w:tc>
        <w:tc>
          <w:tcPr>
            <w:tcW w:type="dxa" w:w="3118"/>
          </w:tcPr>
          <w:p>
            <w:pPr>
              <w:spacing w:line="300" w:lineRule="auto"/>
            </w:pPr>
            <w:r/>
            <w:r>
              <w:rPr>
                <w:rFonts w:ascii="맑은 고딕" w:hAnsi="맑은 고딕" w:eastAsia="맑은 고딕"/>
                <w:sz w:val="19"/>
              </w:rPr>
              <w:t>약 5.6배 (5년 밴드 상단 +2σ 초과)</w:t>
            </w:r>
          </w:p>
        </w:tc>
        <w:tc>
          <w:tcPr>
            <w:tcW w:type="dxa" w:w="3118"/>
          </w:tcPr>
          <w:p>
            <w:pPr>
              <w:spacing w:line="300" w:lineRule="auto"/>
            </w:pPr>
            <w:r/>
            <w:r>
              <w:rPr>
                <w:rFonts w:ascii="맑은 고딕" w:hAnsi="맑은 고딕" w:eastAsia="맑은 고딕"/>
                <w:sz w:val="19"/>
              </w:rPr>
              <w:t>약 2.9배 (밴드 상단)</w:t>
            </w:r>
          </w:p>
        </w:tc>
      </w:tr>
      <w:tr>
        <w:tc>
          <w:tcPr>
            <w:tcW w:type="dxa" w:w="2268"/>
          </w:tcPr>
          <w:p>
            <w:pPr>
              <w:spacing w:line="300" w:lineRule="auto"/>
            </w:pPr>
            <w:r/>
            <w:r>
              <w:rPr>
                <w:rFonts w:ascii="맑은 고딕" w:hAnsi="맑은 고딕" w:eastAsia="맑은 고딕"/>
                <w:sz w:val="19"/>
              </w:rPr>
              <w:t>EV/EBITDA</w:t>
            </w:r>
          </w:p>
        </w:tc>
        <w:tc>
          <w:tcPr>
            <w:tcW w:type="dxa" w:w="3118"/>
          </w:tcPr>
          <w:p>
            <w:pPr>
              <w:spacing w:line="300" w:lineRule="auto"/>
            </w:pPr>
            <w:r/>
            <w:r>
              <w:rPr>
                <w:rFonts w:ascii="맑은 고딕" w:hAnsi="맑은 고딕" w:eastAsia="맑은 고딕"/>
                <w:sz w:val="19"/>
              </w:rPr>
              <w:t>추정 10~12배 (밴드 상단)</w:t>
            </w:r>
          </w:p>
        </w:tc>
        <w:tc>
          <w:tcPr>
            <w:tcW w:type="dxa" w:w="3118"/>
          </w:tcPr>
          <w:p>
            <w:pPr>
              <w:spacing w:line="300" w:lineRule="auto"/>
            </w:pPr>
            <w:r/>
            <w:r>
              <w:rPr>
                <w:rFonts w:ascii="맑은 고딕" w:hAnsi="맑은 고딕" w:eastAsia="맑은 고딕"/>
                <w:sz w:val="19"/>
              </w:rPr>
              <w:t>약 3.4~5.3배 (밴드 하단~중간)</w:t>
            </w:r>
          </w:p>
        </w:tc>
      </w:tr>
      <w:tr>
        <w:tc>
          <w:tcPr>
            <w:tcW w:type="dxa" w:w="2268"/>
          </w:tcPr>
          <w:p>
            <w:pPr>
              <w:spacing w:line="300" w:lineRule="auto"/>
            </w:pPr>
            <w:r/>
            <w:r>
              <w:rPr>
                <w:rFonts w:ascii="맑은 고딕" w:hAnsi="맑은 고딕" w:eastAsia="맑은 고딕"/>
                <w:sz w:val="19"/>
              </w:rPr>
              <w:t>ROE 2026E 추정</w:t>
            </w:r>
          </w:p>
        </w:tc>
        <w:tc>
          <w:tcPr>
            <w:tcW w:type="dxa" w:w="3118"/>
          </w:tcPr>
          <w:p>
            <w:pPr>
              <w:spacing w:line="300" w:lineRule="auto"/>
            </w:pPr>
            <w:r/>
            <w:r>
              <w:rPr>
                <w:rFonts w:ascii="맑은 고딕" w:hAnsi="맑은 고딕" w:eastAsia="맑은 고딕"/>
                <w:sz w:val="19"/>
              </w:rPr>
              <w:t>약 15~18%</w:t>
            </w:r>
          </w:p>
        </w:tc>
        <w:tc>
          <w:tcPr>
            <w:tcW w:type="dxa" w:w="3118"/>
          </w:tcPr>
          <w:p>
            <w:pPr>
              <w:spacing w:line="300" w:lineRule="auto"/>
            </w:pPr>
            <w:r/>
            <w:r>
              <w:rPr>
                <w:rFonts w:ascii="맑은 고딕" w:hAnsi="맑은 고딕" w:eastAsia="맑은 고딕"/>
                <w:sz w:val="19"/>
              </w:rPr>
              <w:t>약 40%+ (HBM 효과)</w:t>
            </w:r>
          </w:p>
        </w:tc>
      </w:tr>
    </w:tbl>
    <w:p/>
    <w:p>
      <w:pPr>
        <w:spacing w:after="80" w:line="324" w:lineRule="auto"/>
      </w:pPr>
      <w:r>
        <w:rPr>
          <w:rFonts w:ascii="맑은 고딕" w:hAnsi="맑은 고딕" w:eastAsia="맑은 고딕"/>
          <w:b w:val="0"/>
          <w:i w:val="0"/>
          <w:sz w:val="21"/>
        </w:rPr>
        <w:t>삼성전자의 PBR 5.6배는 회사 역사상 최고 수준입니다. 시장이 향후 HBM·AI 메모리 이익 도약을 가격에 이미 반영했다는 의미이며, 반대로 말하면 그 시나리오가 깨질 경우 멀티플 압축 위험이 큽니다. SK하이닉스는 Forward PER이 매우 낮고 PBR이 매우 높은 비대칭 구조에 있습니다. 이는 시장이 단기 이익 폭증은 인정하지만 메모리 사이클 정점 우려로 장기 ROE 지속을 의심하고 있음을 시사합니다.</w:t>
      </w:r>
    </w:p>
    <w:p>
      <w:r>
        <w:rPr>
          <w:rFonts w:ascii="맑은 고딕" w:hAnsi="맑은 고딕" w:eastAsia="맑은 고딕"/>
          <w:b/>
          <w:color w:val="1E326E"/>
          <w:sz w:val="26"/>
        </w:rPr>
        <w:t>4-2. 동종업계 비교 — SK하이닉스의 디스카운트가 매우 큽니다</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701"/>
            <w:shd w:val="clear" w:color="auto" w:fill="1E3270"/>
          </w:tcPr>
          <w:p>
            <w:pPr>
              <w:jc w:val="center"/>
            </w:pPr>
            <w:r/>
            <w:r>
              <w:rPr>
                <w:rFonts w:ascii="맑은 고딕" w:hAnsi="맑은 고딕" w:eastAsia="맑은 고딕"/>
                <w:b/>
                <w:color w:val="FFFFFF"/>
                <w:sz w:val="20"/>
              </w:rPr>
              <w:t>종목</w:t>
            </w:r>
          </w:p>
        </w:tc>
        <w:tc>
          <w:tcPr>
            <w:tcW w:type="dxa" w:w="1701"/>
            <w:shd w:val="clear" w:color="auto" w:fill="1E3270"/>
          </w:tcPr>
          <w:p>
            <w:pPr>
              <w:jc w:val="center"/>
            </w:pPr>
            <w:r/>
            <w:r>
              <w:rPr>
                <w:rFonts w:ascii="맑은 고딕" w:hAnsi="맑은 고딕" w:eastAsia="맑은 고딕"/>
                <w:b/>
                <w:color w:val="FFFFFF"/>
                <w:sz w:val="20"/>
              </w:rPr>
              <w:t>Trailing PER</w:t>
            </w:r>
          </w:p>
        </w:tc>
        <w:tc>
          <w:tcPr>
            <w:tcW w:type="dxa" w:w="1701"/>
            <w:shd w:val="clear" w:color="auto" w:fill="1E3270"/>
          </w:tcPr>
          <w:p>
            <w:pPr>
              <w:jc w:val="center"/>
            </w:pPr>
            <w:r/>
            <w:r>
              <w:rPr>
                <w:rFonts w:ascii="맑은 고딕" w:hAnsi="맑은 고딕" w:eastAsia="맑은 고딕"/>
                <w:b/>
                <w:color w:val="FFFFFF"/>
                <w:sz w:val="20"/>
              </w:rPr>
              <w:t>Forward PER</w:t>
            </w:r>
          </w:p>
        </w:tc>
        <w:tc>
          <w:tcPr>
            <w:tcW w:type="dxa" w:w="1417"/>
            <w:shd w:val="clear" w:color="auto" w:fill="1E3270"/>
          </w:tcPr>
          <w:p>
            <w:pPr>
              <w:jc w:val="center"/>
            </w:pPr>
            <w:r/>
            <w:r>
              <w:rPr>
                <w:rFonts w:ascii="맑은 고딕" w:hAnsi="맑은 고딕" w:eastAsia="맑은 고딕"/>
                <w:b/>
                <w:color w:val="FFFFFF"/>
                <w:sz w:val="20"/>
              </w:rPr>
              <w:t>PBR</w:t>
            </w:r>
          </w:p>
        </w:tc>
        <w:tc>
          <w:tcPr>
            <w:tcW w:type="dxa" w:w="1984"/>
            <w:shd w:val="clear" w:color="auto" w:fill="1E3270"/>
          </w:tcPr>
          <w:p>
            <w:pPr>
              <w:jc w:val="center"/>
            </w:pPr>
            <w:r/>
            <w:r>
              <w:rPr>
                <w:rFonts w:ascii="맑은 고딕" w:hAnsi="맑은 고딕" w:eastAsia="맑은 고딕"/>
                <w:b/>
                <w:color w:val="FFFFFF"/>
                <w:sz w:val="20"/>
              </w:rPr>
              <w:t>EV/EBITDA</w:t>
            </w:r>
          </w:p>
        </w:tc>
      </w:tr>
      <w:tr>
        <w:tc>
          <w:tcPr>
            <w:tcW w:type="dxa" w:w="1701"/>
          </w:tcPr>
          <w:p>
            <w:pPr>
              <w:spacing w:line="300" w:lineRule="auto"/>
            </w:pPr>
            <w:r/>
            <w:r>
              <w:rPr>
                <w:rFonts w:ascii="맑은 고딕" w:hAnsi="맑은 고딕" w:eastAsia="맑은 고딕"/>
                <w:sz w:val="19"/>
              </w:rPr>
              <w:t>삼성전자</w:t>
            </w:r>
          </w:p>
        </w:tc>
        <w:tc>
          <w:tcPr>
            <w:tcW w:type="dxa" w:w="1701"/>
          </w:tcPr>
          <w:p>
            <w:pPr>
              <w:spacing w:line="300" w:lineRule="auto"/>
            </w:pPr>
            <w:r/>
            <w:r>
              <w:rPr>
                <w:rFonts w:ascii="맑은 고딕" w:hAnsi="맑은 고딕" w:eastAsia="맑은 고딕"/>
                <w:sz w:val="19"/>
              </w:rPr>
              <w:t>약 54.3배</w:t>
            </w:r>
          </w:p>
        </w:tc>
        <w:tc>
          <w:tcPr>
            <w:tcW w:type="dxa" w:w="1701"/>
          </w:tcPr>
          <w:p>
            <w:pPr>
              <w:spacing w:line="300" w:lineRule="auto"/>
            </w:pPr>
            <w:r/>
            <w:r>
              <w:rPr>
                <w:rFonts w:ascii="맑은 고딕" w:hAnsi="맑은 고딕" w:eastAsia="맑은 고딕"/>
                <w:sz w:val="19"/>
              </w:rPr>
              <w:t>확인 불가</w:t>
            </w:r>
          </w:p>
        </w:tc>
        <w:tc>
          <w:tcPr>
            <w:tcW w:type="dxa" w:w="1417"/>
          </w:tcPr>
          <w:p>
            <w:pPr>
              <w:spacing w:line="300" w:lineRule="auto"/>
            </w:pPr>
            <w:r/>
            <w:r>
              <w:rPr>
                <w:rFonts w:ascii="맑은 고딕" w:hAnsi="맑은 고딕" w:eastAsia="맑은 고딕"/>
                <w:sz w:val="19"/>
              </w:rPr>
              <w:t>5.6배</w:t>
            </w:r>
          </w:p>
        </w:tc>
        <w:tc>
          <w:tcPr>
            <w:tcW w:type="dxa" w:w="1984"/>
          </w:tcPr>
          <w:p>
            <w:pPr>
              <w:spacing w:line="300" w:lineRule="auto"/>
            </w:pPr>
            <w:r/>
            <w:r>
              <w:rPr>
                <w:rFonts w:ascii="맑은 고딕" w:hAnsi="맑은 고딕" w:eastAsia="맑은 고딕"/>
                <w:sz w:val="19"/>
              </w:rPr>
              <w:t>10~12배</w:t>
            </w:r>
          </w:p>
        </w:tc>
      </w:tr>
      <w:tr>
        <w:tc>
          <w:tcPr>
            <w:tcW w:type="dxa" w:w="1701"/>
          </w:tcPr>
          <w:p>
            <w:pPr>
              <w:spacing w:line="300" w:lineRule="auto"/>
            </w:pPr>
            <w:r/>
            <w:r>
              <w:rPr>
                <w:rFonts w:ascii="맑은 고딕" w:hAnsi="맑은 고딕" w:eastAsia="맑은 고딕"/>
                <w:sz w:val="19"/>
              </w:rPr>
              <w:t>SK하이닉스</w:t>
            </w:r>
          </w:p>
        </w:tc>
        <w:tc>
          <w:tcPr>
            <w:tcW w:type="dxa" w:w="1701"/>
          </w:tcPr>
          <w:p>
            <w:pPr>
              <w:spacing w:line="300" w:lineRule="auto"/>
            </w:pPr>
            <w:r/>
            <w:r>
              <w:rPr>
                <w:rFonts w:ascii="맑은 고딕" w:hAnsi="맑은 고딕" w:eastAsia="맑은 고딕"/>
                <w:sz w:val="19"/>
              </w:rPr>
              <w:t>사이클상 의미 낮음</w:t>
            </w:r>
          </w:p>
        </w:tc>
        <w:tc>
          <w:tcPr>
            <w:tcW w:type="dxa" w:w="1701"/>
          </w:tcPr>
          <w:p>
            <w:pPr>
              <w:spacing w:line="300" w:lineRule="auto"/>
            </w:pPr>
            <w:r/>
            <w:r>
              <w:rPr>
                <w:rFonts w:ascii="맑은 고딕" w:hAnsi="맑은 고딕" w:eastAsia="맑은 고딕"/>
                <w:sz w:val="19"/>
              </w:rPr>
              <w:t>6.79~6.9배</w:t>
            </w:r>
          </w:p>
        </w:tc>
        <w:tc>
          <w:tcPr>
            <w:tcW w:type="dxa" w:w="1417"/>
          </w:tcPr>
          <w:p>
            <w:pPr>
              <w:spacing w:line="300" w:lineRule="auto"/>
            </w:pPr>
            <w:r/>
            <w:r>
              <w:rPr>
                <w:rFonts w:ascii="맑은 고딕" w:hAnsi="맑은 고딕" w:eastAsia="맑은 고딕"/>
                <w:sz w:val="19"/>
              </w:rPr>
              <w:t>2.9배</w:t>
            </w:r>
          </w:p>
        </w:tc>
        <w:tc>
          <w:tcPr>
            <w:tcW w:type="dxa" w:w="1984"/>
          </w:tcPr>
          <w:p>
            <w:pPr>
              <w:spacing w:line="300" w:lineRule="auto"/>
            </w:pPr>
            <w:r/>
            <w:r>
              <w:rPr>
                <w:rFonts w:ascii="맑은 고딕" w:hAnsi="맑은 고딕" w:eastAsia="맑은 고딕"/>
                <w:sz w:val="19"/>
              </w:rPr>
              <w:t>3.4~5.3배</w:t>
            </w:r>
          </w:p>
        </w:tc>
      </w:tr>
      <w:tr>
        <w:tc>
          <w:tcPr>
            <w:tcW w:type="dxa" w:w="1701"/>
          </w:tcPr>
          <w:p>
            <w:pPr>
              <w:spacing w:line="300" w:lineRule="auto"/>
            </w:pPr>
            <w:r/>
            <w:r>
              <w:rPr>
                <w:rFonts w:ascii="맑은 고딕" w:hAnsi="맑은 고딕" w:eastAsia="맑은 고딕"/>
                <w:sz w:val="19"/>
              </w:rPr>
              <w:t>마이크론(MU)</w:t>
            </w:r>
          </w:p>
        </w:tc>
        <w:tc>
          <w:tcPr>
            <w:tcW w:type="dxa" w:w="1701"/>
          </w:tcPr>
          <w:p>
            <w:pPr>
              <w:spacing w:line="300" w:lineRule="auto"/>
            </w:pPr>
            <w:r/>
            <w:r>
              <w:rPr>
                <w:rFonts w:ascii="맑은 고딕" w:hAnsi="맑은 고딕" w:eastAsia="맑은 고딕"/>
                <w:sz w:val="19"/>
              </w:rPr>
              <w:t>약 27.1배</w:t>
            </w:r>
          </w:p>
        </w:tc>
        <w:tc>
          <w:tcPr>
            <w:tcW w:type="dxa" w:w="1701"/>
          </w:tcPr>
          <w:p>
            <w:pPr>
              <w:spacing w:line="300" w:lineRule="auto"/>
            </w:pPr>
            <w:r/>
            <w:r>
              <w:rPr>
                <w:rFonts w:ascii="맑은 고딕" w:hAnsi="맑은 고딕" w:eastAsia="맑은 고딕"/>
                <w:sz w:val="19"/>
              </w:rPr>
              <w:t>9.76~10.5배</w:t>
            </w:r>
          </w:p>
        </w:tc>
        <w:tc>
          <w:tcPr>
            <w:tcW w:type="dxa" w:w="1417"/>
          </w:tcPr>
          <w:p>
            <w:pPr>
              <w:spacing w:line="300" w:lineRule="auto"/>
            </w:pPr>
            <w:r/>
            <w:r>
              <w:rPr>
                <w:rFonts w:ascii="맑은 고딕" w:hAnsi="맑은 고딕" w:eastAsia="맑은 고딕"/>
                <w:sz w:val="19"/>
              </w:rPr>
              <w:t>확인 불가</w:t>
            </w:r>
          </w:p>
        </w:tc>
        <w:tc>
          <w:tcPr>
            <w:tcW w:type="dxa" w:w="1984"/>
          </w:tcPr>
          <w:p>
            <w:pPr>
              <w:spacing w:line="300" w:lineRule="auto"/>
            </w:pPr>
            <w:r/>
            <w:r>
              <w:rPr>
                <w:rFonts w:ascii="맑은 고딕" w:hAnsi="맑은 고딕" w:eastAsia="맑은 고딕"/>
                <w:sz w:val="19"/>
              </w:rPr>
              <w:t>확인 불가</w:t>
            </w:r>
          </w:p>
        </w:tc>
      </w:tr>
      <w:tr>
        <w:tc>
          <w:tcPr>
            <w:tcW w:type="dxa" w:w="1701"/>
          </w:tcPr>
          <w:p>
            <w:pPr>
              <w:spacing w:line="300" w:lineRule="auto"/>
            </w:pPr>
            <w:r/>
            <w:r>
              <w:rPr>
                <w:rFonts w:ascii="맑은 고딕" w:hAnsi="맑은 고딕" w:eastAsia="맑은 고딕"/>
                <w:sz w:val="19"/>
              </w:rPr>
              <w:t>TSMC(TSM)</w:t>
            </w:r>
          </w:p>
        </w:tc>
        <w:tc>
          <w:tcPr>
            <w:tcW w:type="dxa" w:w="1701"/>
          </w:tcPr>
          <w:p>
            <w:pPr>
              <w:spacing w:line="300" w:lineRule="auto"/>
            </w:pPr>
            <w:r/>
            <w:r>
              <w:rPr>
                <w:rFonts w:ascii="맑은 고딕" w:hAnsi="맑은 고딕" w:eastAsia="맑은 고딕"/>
                <w:sz w:val="19"/>
              </w:rPr>
              <w:t>약 32~36.7배</w:t>
            </w:r>
          </w:p>
        </w:tc>
        <w:tc>
          <w:tcPr>
            <w:tcW w:type="dxa" w:w="1701"/>
          </w:tcPr>
          <w:p>
            <w:pPr>
              <w:spacing w:line="300" w:lineRule="auto"/>
            </w:pPr>
            <w:r/>
            <w:r>
              <w:rPr>
                <w:rFonts w:ascii="맑은 고딕" w:hAnsi="맑은 고딕" w:eastAsia="맑은 고딕"/>
                <w:sz w:val="19"/>
              </w:rPr>
              <w:t>약 22.2배</w:t>
            </w:r>
          </w:p>
        </w:tc>
        <w:tc>
          <w:tcPr>
            <w:tcW w:type="dxa" w:w="1417"/>
          </w:tcPr>
          <w:p>
            <w:pPr>
              <w:spacing w:line="300" w:lineRule="auto"/>
            </w:pPr>
            <w:r/>
            <w:r>
              <w:rPr>
                <w:rFonts w:ascii="맑은 고딕" w:hAnsi="맑은 고딕" w:eastAsia="맑은 고딕"/>
                <w:sz w:val="19"/>
              </w:rPr>
              <w:t>확인 불가</w:t>
            </w:r>
          </w:p>
        </w:tc>
        <w:tc>
          <w:tcPr>
            <w:tcW w:type="dxa" w:w="1984"/>
          </w:tcPr>
          <w:p>
            <w:pPr>
              <w:spacing w:line="300" w:lineRule="auto"/>
            </w:pPr>
            <w:r/>
            <w:r>
              <w:rPr>
                <w:rFonts w:ascii="맑은 고딕" w:hAnsi="맑은 고딕" w:eastAsia="맑은 고딕"/>
                <w:sz w:val="19"/>
              </w:rPr>
              <w:t>17.3~20.6배</w:t>
            </w:r>
          </w:p>
        </w:tc>
      </w:tr>
      <w:tr>
        <w:tc>
          <w:tcPr>
            <w:tcW w:type="dxa" w:w="1701"/>
          </w:tcPr>
          <w:p>
            <w:pPr>
              <w:spacing w:line="300" w:lineRule="auto"/>
            </w:pPr>
            <w:r/>
            <w:r>
              <w:rPr>
                <w:rFonts w:ascii="맑은 고딕" w:hAnsi="맑은 고딕" w:eastAsia="맑은 고딕"/>
                <w:sz w:val="19"/>
              </w:rPr>
              <w:t>ASML</w:t>
            </w:r>
          </w:p>
        </w:tc>
        <w:tc>
          <w:tcPr>
            <w:tcW w:type="dxa" w:w="1701"/>
          </w:tcPr>
          <w:p>
            <w:pPr>
              <w:spacing w:line="300" w:lineRule="auto"/>
            </w:pPr>
            <w:r/>
            <w:r>
              <w:rPr>
                <w:rFonts w:ascii="맑은 고딕" w:hAnsi="맑은 고딕" w:eastAsia="맑은 고딕"/>
                <w:sz w:val="19"/>
              </w:rPr>
              <w:t>약 55~63배</w:t>
            </w:r>
          </w:p>
        </w:tc>
        <w:tc>
          <w:tcPr>
            <w:tcW w:type="dxa" w:w="1701"/>
          </w:tcPr>
          <w:p>
            <w:pPr>
              <w:spacing w:line="300" w:lineRule="auto"/>
            </w:pPr>
            <w:r/>
            <w:r>
              <w:rPr>
                <w:rFonts w:ascii="맑은 고딕" w:hAnsi="맑은 고딕" w:eastAsia="맑은 고딕"/>
                <w:sz w:val="19"/>
              </w:rPr>
              <w:t>확인 불가</w:t>
            </w:r>
          </w:p>
        </w:tc>
        <w:tc>
          <w:tcPr>
            <w:tcW w:type="dxa" w:w="1417"/>
          </w:tcPr>
          <w:p>
            <w:pPr>
              <w:spacing w:line="300" w:lineRule="auto"/>
            </w:pPr>
            <w:r/>
            <w:r>
              <w:rPr>
                <w:rFonts w:ascii="맑은 고딕" w:hAnsi="맑은 고딕" w:eastAsia="맑은 고딕"/>
                <w:sz w:val="19"/>
              </w:rPr>
              <w:t>확인 불가</w:t>
            </w:r>
          </w:p>
        </w:tc>
        <w:tc>
          <w:tcPr>
            <w:tcW w:type="dxa" w:w="1984"/>
          </w:tcPr>
          <w:p>
            <w:pPr>
              <w:spacing w:line="300" w:lineRule="auto"/>
            </w:pPr>
            <w:r/>
            <w:r>
              <w:rPr>
                <w:rFonts w:ascii="맑은 고딕" w:hAnsi="맑은 고딕" w:eastAsia="맑은 고딕"/>
                <w:sz w:val="19"/>
              </w:rPr>
              <w:t>33.9~43배</w:t>
            </w:r>
          </w:p>
        </w:tc>
      </w:tr>
    </w:tbl>
    <w:p/>
    <w:p>
      <w:pPr>
        <w:spacing w:after="80" w:line="324" w:lineRule="auto"/>
      </w:pPr>
      <w:r>
        <w:rPr>
          <w:rFonts w:ascii="맑은 고딕" w:hAnsi="맑은 고딕" w:eastAsia="맑은 고딕"/>
          <w:b w:val="0"/>
          <w:i w:val="0"/>
          <w:sz w:val="21"/>
        </w:rPr>
        <w:t>SK하이닉스의 Forward PER 6.9배는 마이크론(9.76배) 대비 약 -29%, TSMC(22.2배) 대비 약 -69% 디스카운트입니다. TSMC ADR이 대만 본주 대비 +19% 프리미엄에 거래되는 사례를 reference로 삼으면, ADR 상장 후 SK하이닉스의 멀티플 격차가 일부 해소될 가능성을 정량적으로 가늠해볼 수 있습니다.</w:t>
      </w:r>
    </w:p>
    <w:p>
      <w:r>
        <w:rPr>
          <w:rFonts w:ascii="맑은 고딕" w:hAnsi="맑은 고딕" w:eastAsia="맑은 고딕"/>
          <w:b/>
          <w:color w:val="1E326E"/>
          <w:sz w:val="26"/>
        </w:rPr>
        <w:t>4-3. SK하이닉스 ADR 재평가 정량 시나리오</w:t>
      </w:r>
    </w:p>
    <w:p>
      <w:pPr>
        <w:spacing w:after="80" w:line="324" w:lineRule="auto"/>
      </w:pPr>
      <w:r>
        <w:rPr>
          <w:rFonts w:ascii="맑은 고딕" w:hAnsi="맑은 고딕" w:eastAsia="맑은 고딕"/>
          <w:b w:val="0"/>
          <w:i w:val="0"/>
          <w:sz w:val="21"/>
        </w:rPr>
        <w:t>사용자께서 제기하신 핵심 질문 "하이닉스가 미국 ADR에 상장되면 TSMC처럼 높은 PER로 재평가될 가능성이 있는가"에 대한 정량 답변입니다. 전제: SK하이닉스 2026E EPS 기준 현재 Forward PER 6.9배 = ₩2,673,000.</w:t>
      </w:r>
    </w:p>
    <w:tbl>
      <w:tblPr>
        <w:tblStyle w:val="LightGrid-Accent1"/>
        <w:tblW w:type="auto" w:w="0"/>
        <w:tblLook w:firstColumn="1" w:firstRow="1" w:lastColumn="0" w:lastRow="0" w:noHBand="0" w:noVBand="1" w:val="04A0"/>
      </w:tblPr>
      <w:tblGrid>
        <w:gridCol w:w="2493"/>
        <w:gridCol w:w="2493"/>
        <w:gridCol w:w="2493"/>
        <w:gridCol w:w="2493"/>
      </w:tblGrid>
      <w:tr>
        <w:tc>
          <w:tcPr>
            <w:tcW w:type="dxa" w:w="3685"/>
            <w:shd w:val="clear" w:color="auto" w:fill="1E3270"/>
          </w:tcPr>
          <w:p>
            <w:pPr>
              <w:jc w:val="center"/>
            </w:pPr>
            <w:r/>
            <w:r>
              <w:rPr>
                <w:rFonts w:ascii="맑은 고딕" w:hAnsi="맑은 고딕" w:eastAsia="맑은 고딕"/>
                <w:b/>
                <w:color w:val="FFFFFF"/>
                <w:sz w:val="20"/>
              </w:rPr>
              <w:t>시나리오</w:t>
            </w:r>
          </w:p>
        </w:tc>
        <w:tc>
          <w:tcPr>
            <w:tcW w:type="dxa" w:w="1701"/>
            <w:shd w:val="clear" w:color="auto" w:fill="1E3270"/>
          </w:tcPr>
          <w:p>
            <w:pPr>
              <w:jc w:val="center"/>
            </w:pPr>
            <w:r/>
            <w:r>
              <w:rPr>
                <w:rFonts w:ascii="맑은 고딕" w:hAnsi="맑은 고딕" w:eastAsia="맑은 고딕"/>
                <w:b/>
                <w:color w:val="FFFFFF"/>
                <w:sz w:val="20"/>
              </w:rPr>
              <w:t>적용 Forward PER</w:t>
            </w:r>
          </w:p>
        </w:tc>
        <w:tc>
          <w:tcPr>
            <w:tcW w:type="dxa" w:w="1984"/>
            <w:shd w:val="clear" w:color="auto" w:fill="1E3270"/>
          </w:tcPr>
          <w:p>
            <w:pPr>
              <w:jc w:val="center"/>
            </w:pPr>
            <w:r/>
            <w:r>
              <w:rPr>
                <w:rFonts w:ascii="맑은 고딕" w:hAnsi="맑은 고딕" w:eastAsia="맑은 고딕"/>
                <w:b/>
                <w:color w:val="FFFFFF"/>
                <w:sz w:val="20"/>
              </w:rPr>
              <w:t>산출 적정가</w:t>
            </w:r>
          </w:p>
        </w:tc>
        <w:tc>
          <w:tcPr>
            <w:tcW w:type="dxa" w:w="1417"/>
            <w:shd w:val="clear" w:color="auto" w:fill="1E3270"/>
          </w:tcPr>
          <w:p>
            <w:pPr>
              <w:jc w:val="center"/>
            </w:pPr>
            <w:r/>
            <w:r>
              <w:rPr>
                <w:rFonts w:ascii="맑은 고딕" w:hAnsi="맑은 고딕" w:eastAsia="맑은 고딕"/>
                <w:b/>
                <w:color w:val="FFFFFF"/>
                <w:sz w:val="20"/>
              </w:rPr>
              <w:t>현재가 대비</w:t>
            </w:r>
          </w:p>
        </w:tc>
      </w:tr>
      <w:tr>
        <w:tc>
          <w:tcPr>
            <w:tcW w:type="dxa" w:w="3685"/>
          </w:tcPr>
          <w:p>
            <w:pPr>
              <w:spacing w:line="300" w:lineRule="auto"/>
            </w:pPr>
            <w:r/>
            <w:r>
              <w:rPr>
                <w:rFonts w:ascii="맑은 고딕" w:hAnsi="맑은 고딕" w:eastAsia="맑은 고딕"/>
                <w:sz w:val="19"/>
              </w:rPr>
              <w:t>보수 (마이크론 수준, 메모리 사이클 디스카운트 반영)</w:t>
            </w:r>
          </w:p>
        </w:tc>
        <w:tc>
          <w:tcPr>
            <w:tcW w:type="dxa" w:w="1701"/>
          </w:tcPr>
          <w:p>
            <w:pPr>
              <w:spacing w:line="300" w:lineRule="auto"/>
            </w:pPr>
            <w:r/>
            <w:r>
              <w:rPr>
                <w:rFonts w:ascii="맑은 고딕" w:hAnsi="맑은 고딕" w:eastAsia="맑은 고딕"/>
                <w:sz w:val="19"/>
              </w:rPr>
              <w:t>9.76배</w:t>
            </w:r>
          </w:p>
        </w:tc>
        <w:tc>
          <w:tcPr>
            <w:tcW w:type="dxa" w:w="1984"/>
          </w:tcPr>
          <w:p>
            <w:pPr>
              <w:spacing w:line="300" w:lineRule="auto"/>
            </w:pPr>
            <w:r/>
            <w:r>
              <w:rPr>
                <w:rFonts w:ascii="맑은 고딕" w:hAnsi="맑은 고딕" w:eastAsia="맑은 고딕"/>
                <w:sz w:val="19"/>
              </w:rPr>
              <w:t>약 ₩3,770,000</w:t>
            </w:r>
          </w:p>
        </w:tc>
        <w:tc>
          <w:tcPr>
            <w:tcW w:type="dxa" w:w="1417"/>
          </w:tcPr>
          <w:p>
            <w:pPr>
              <w:spacing w:line="300" w:lineRule="auto"/>
            </w:pPr>
            <w:r/>
            <w:r>
              <w:rPr>
                <w:rFonts w:ascii="맑은 고딕" w:hAnsi="맑은 고딕" w:eastAsia="맑은 고딕"/>
                <w:sz w:val="19"/>
              </w:rPr>
              <w:t>+41%</w:t>
            </w:r>
          </w:p>
        </w:tc>
      </w:tr>
      <w:tr>
        <w:tc>
          <w:tcPr>
            <w:tcW w:type="dxa" w:w="3685"/>
          </w:tcPr>
          <w:p>
            <w:pPr>
              <w:spacing w:line="300" w:lineRule="auto"/>
            </w:pPr>
            <w:r/>
            <w:r>
              <w:rPr>
                <w:rFonts w:ascii="맑은 고딕" w:hAnsi="맑은 고딕" w:eastAsia="맑은 고딕"/>
                <w:sz w:val="19"/>
              </w:rPr>
              <w:t>기본 (마이크론 + ADR 프리미엄 15%)</w:t>
            </w:r>
          </w:p>
        </w:tc>
        <w:tc>
          <w:tcPr>
            <w:tcW w:type="dxa" w:w="1701"/>
          </w:tcPr>
          <w:p>
            <w:pPr>
              <w:spacing w:line="300" w:lineRule="auto"/>
            </w:pPr>
            <w:r/>
            <w:r>
              <w:rPr>
                <w:rFonts w:ascii="맑은 고딕" w:hAnsi="맑은 고딕" w:eastAsia="맑은 고딕"/>
                <w:sz w:val="19"/>
              </w:rPr>
              <w:t>11.2배</w:t>
            </w:r>
          </w:p>
        </w:tc>
        <w:tc>
          <w:tcPr>
            <w:tcW w:type="dxa" w:w="1984"/>
          </w:tcPr>
          <w:p>
            <w:pPr>
              <w:spacing w:line="300" w:lineRule="auto"/>
            </w:pPr>
            <w:r/>
            <w:r>
              <w:rPr>
                <w:rFonts w:ascii="맑은 고딕" w:hAnsi="맑은 고딕" w:eastAsia="맑은 고딕"/>
                <w:sz w:val="19"/>
              </w:rPr>
              <w:t>약 ₩4,330,000</w:t>
            </w:r>
          </w:p>
        </w:tc>
        <w:tc>
          <w:tcPr>
            <w:tcW w:type="dxa" w:w="1417"/>
          </w:tcPr>
          <w:p>
            <w:pPr>
              <w:spacing w:line="300" w:lineRule="auto"/>
            </w:pPr>
            <w:r/>
            <w:r>
              <w:rPr>
                <w:rFonts w:ascii="맑은 고딕" w:hAnsi="맑은 고딕" w:eastAsia="맑은 고딕"/>
                <w:sz w:val="19"/>
              </w:rPr>
              <w:t>+62%</w:t>
            </w:r>
          </w:p>
        </w:tc>
      </w:tr>
      <w:tr>
        <w:tc>
          <w:tcPr>
            <w:tcW w:type="dxa" w:w="3685"/>
          </w:tcPr>
          <w:p>
            <w:pPr>
              <w:spacing w:line="300" w:lineRule="auto"/>
            </w:pPr>
            <w:r/>
            <w:r>
              <w:rPr>
                <w:rFonts w:ascii="맑은 고딕" w:hAnsi="맑은 고딕" w:eastAsia="맑은 고딕"/>
                <w:sz w:val="19"/>
              </w:rPr>
              <w:t>낙관 (TSMC의 50% 적용, 메모리 사이클 50% 디스카운트)</w:t>
            </w:r>
          </w:p>
        </w:tc>
        <w:tc>
          <w:tcPr>
            <w:tcW w:type="dxa" w:w="1701"/>
          </w:tcPr>
          <w:p>
            <w:pPr>
              <w:spacing w:line="300" w:lineRule="auto"/>
            </w:pPr>
            <w:r/>
            <w:r>
              <w:rPr>
                <w:rFonts w:ascii="맑은 고딕" w:hAnsi="맑은 고딕" w:eastAsia="맑은 고딕"/>
                <w:sz w:val="19"/>
              </w:rPr>
              <w:t>11.1배</w:t>
            </w:r>
          </w:p>
        </w:tc>
        <w:tc>
          <w:tcPr>
            <w:tcW w:type="dxa" w:w="1984"/>
          </w:tcPr>
          <w:p>
            <w:pPr>
              <w:spacing w:line="300" w:lineRule="auto"/>
            </w:pPr>
            <w:r/>
            <w:r>
              <w:rPr>
                <w:rFonts w:ascii="맑은 고딕" w:hAnsi="맑은 고딕" w:eastAsia="맑은 고딕"/>
                <w:sz w:val="19"/>
              </w:rPr>
              <w:t>약 ₩4,340,000</w:t>
            </w:r>
          </w:p>
        </w:tc>
        <w:tc>
          <w:tcPr>
            <w:tcW w:type="dxa" w:w="1417"/>
          </w:tcPr>
          <w:p>
            <w:pPr>
              <w:spacing w:line="300" w:lineRule="auto"/>
            </w:pPr>
            <w:r/>
            <w:r>
              <w:rPr>
                <w:rFonts w:ascii="맑은 고딕" w:hAnsi="맑은 고딕" w:eastAsia="맑은 고딕"/>
                <w:sz w:val="19"/>
              </w:rPr>
              <w:t>+61%</w:t>
            </w:r>
          </w:p>
        </w:tc>
      </w:tr>
      <w:tr>
        <w:tc>
          <w:tcPr>
            <w:tcW w:type="dxa" w:w="3685"/>
          </w:tcPr>
          <w:p>
            <w:pPr>
              <w:spacing w:line="300" w:lineRule="auto"/>
            </w:pPr>
            <w:r/>
            <w:r>
              <w:rPr>
                <w:rFonts w:ascii="맑은 고딕" w:hAnsi="맑은 고딕" w:eastAsia="맑은 고딕"/>
                <w:sz w:val="19"/>
              </w:rPr>
              <w:t>극낙관 (TSMC 동등, 비현실적)</w:t>
            </w:r>
          </w:p>
        </w:tc>
        <w:tc>
          <w:tcPr>
            <w:tcW w:type="dxa" w:w="1701"/>
          </w:tcPr>
          <w:p>
            <w:pPr>
              <w:spacing w:line="300" w:lineRule="auto"/>
            </w:pPr>
            <w:r/>
            <w:r>
              <w:rPr>
                <w:rFonts w:ascii="맑은 고딕" w:hAnsi="맑은 고딕" w:eastAsia="맑은 고딕"/>
                <w:sz w:val="19"/>
              </w:rPr>
              <w:t>22.2배</w:t>
            </w:r>
          </w:p>
        </w:tc>
        <w:tc>
          <w:tcPr>
            <w:tcW w:type="dxa" w:w="1984"/>
          </w:tcPr>
          <w:p>
            <w:pPr>
              <w:spacing w:line="300" w:lineRule="auto"/>
            </w:pPr>
            <w:r/>
            <w:r>
              <w:rPr>
                <w:rFonts w:ascii="맑은 고딕" w:hAnsi="맑은 고딕" w:eastAsia="맑은 고딕"/>
                <w:sz w:val="19"/>
              </w:rPr>
              <w:t>약 ₩8,690,000</w:t>
            </w:r>
          </w:p>
        </w:tc>
        <w:tc>
          <w:tcPr>
            <w:tcW w:type="dxa" w:w="1417"/>
          </w:tcPr>
          <w:p>
            <w:pPr>
              <w:spacing w:line="300" w:lineRule="auto"/>
            </w:pPr>
            <w:r/>
            <w:r>
              <w:rPr>
                <w:rFonts w:ascii="맑은 고딕" w:hAnsi="맑은 고딕" w:eastAsia="맑은 고딕"/>
                <w:sz w:val="19"/>
              </w:rPr>
              <w:t>+222%</w:t>
            </w:r>
          </w:p>
        </w:tc>
      </w:tr>
    </w:tbl>
    <w:p/>
    <w:p>
      <w:pPr>
        <w:spacing w:after="80" w:line="324" w:lineRule="auto"/>
      </w:pPr>
      <w:r>
        <w:rPr>
          <w:rFonts w:ascii="맑은 고딕" w:hAnsi="맑은 고딕" w:eastAsia="맑은 고딕"/>
          <w:b w:val="0"/>
          <w:i w:val="0"/>
          <w:sz w:val="21"/>
        </w:rPr>
        <w:t>메모리는 파운드리와 달리 사이클 종속성이 본질적으로 큽니다. 따라서 TSMC 수준 동등 평가는 비현실적이며, 합리적 ADR 재평가 밴드는 보수~기본 시나리오(현재가 +40~60%)로 추정됩니다. 다만 표본 편향(알리바바·GM·TSMC 등 한정 사례)과 첫 1~3개월간 신주 발행 dilution 부담(-3~5%)이 선행될 수 있다는 점도 함께 인지해야 합니다.</w:t>
      </w:r>
    </w:p>
    <w:p>
      <w:pPr>
        <w:spacing w:after="80" w:line="324" w:lineRule="auto"/>
      </w:pPr>
      <w:r>
        <w:rPr>
          <w:rFonts w:ascii="맑은 고딕" w:hAnsi="맑은 고딕" w:eastAsia="맑은 고딕"/>
          <w:b w:val="0"/>
          <w:i w:val="0"/>
          <w:sz w:val="21"/>
        </w:rPr>
        <w:t>확률 가중 기대값을 계산해보면: 보수 +41% × 40% + 기본 +62% × 35% + dilution -5% × 25% = 약 +37% (12개월 기준)입니다. 정량적 기대값은 명확히 비대칭 상방이지만, 일시적 dilution을 견딜 분할 매수 전략이 합리적입니다.</w:t>
      </w:r>
    </w:p>
    <w:p>
      <w:r>
        <w:rPr>
          <w:rFonts w:ascii="맑은 고딕" w:hAnsi="맑은 고딕" w:eastAsia="맑은 고딕"/>
          <w:b/>
          <w:color w:val="1E326E"/>
          <w:sz w:val="26"/>
        </w:rPr>
        <w:t>4-4. 하이닉스 ADR 재평가가 삼성전자에 미치는 sympathy 효과</w:t>
      </w:r>
    </w:p>
    <w:p>
      <w:pPr>
        <w:spacing w:after="80" w:line="324" w:lineRule="auto"/>
      </w:pPr>
      <w:r>
        <w:rPr>
          <w:rFonts w:ascii="맑은 고딕" w:hAnsi="맑은 고딕" w:eastAsia="맑은 고딕"/>
          <w:b w:val="0"/>
          <w:i w:val="0"/>
          <w:sz w:val="21"/>
        </w:rPr>
        <w:t>사용자께서 "하이닉스가 ADR로 높은 PER로 재평가되면 삼성전자의 기업가치 재평가에도 영향을 줄까"라고 질문하셨습니다. 한국 IT/메모리 섹터 ETF·MSCI Korea ETF 자금 유입 경로로 일부 sympathy 효과가 발생할 수 있습니다. 다만 삼성전자 PBR 5.6배는 이미 역대 최고 수준이라 추가 멀티플 확장 여지가 SK 대비 훨씬 제한적입니다. 합리적 sympathy 효과는 PBR이 6.0~6.5배까지 확장될 경우 +7~16% 상승 여력 정도로 추정되며, 이는 SK ADR 재평가 폭(+40~60%)에 비해 작습니다. 삼성전자 본인의 HBM3E 12-Hi NVIDIA 메인 라인 배정·HBM4 25% 이상 배정 확정이 더 결정적인 트리거가 될 것입니다.</w:t>
      </w:r>
    </w:p>
    <w:p>
      <w:r>
        <w:rPr>
          <w:rFonts w:ascii="맑은 고딕" w:hAnsi="맑은 고딕" w:eastAsia="맑은 고딕"/>
          <w:b/>
          <w:color w:val="1E326E"/>
          <w:sz w:val="26"/>
        </w:rPr>
        <w:t>4-5. 외국인 수급 — 누적 매도와 보유 비중</w:t>
      </w:r>
    </w:p>
    <w:tbl>
      <w:tblPr>
        <w:tblStyle w:val="LightGrid-Accent1"/>
        <w:tblW w:type="auto" w:w="0"/>
        <w:tblLook w:firstColumn="1" w:firstRow="1" w:lastColumn="0" w:lastRow="0" w:noHBand="0" w:noVBand="1" w:val="04A0"/>
      </w:tblPr>
      <w:tblGrid>
        <w:gridCol w:w="3324"/>
        <w:gridCol w:w="3324"/>
        <w:gridCol w:w="3324"/>
      </w:tblGrid>
      <w:tr>
        <w:tc>
          <w:tcPr>
            <w:tcW w:type="dxa" w:w="3402"/>
            <w:shd w:val="clear" w:color="auto" w:fill="1E3270"/>
          </w:tcPr>
          <w:p>
            <w:pPr>
              <w:jc w:val="center"/>
            </w:pPr>
            <w:r/>
            <w:r>
              <w:rPr>
                <w:rFonts w:ascii="맑은 고딕" w:hAnsi="맑은 고딕" w:eastAsia="맑은 고딕"/>
                <w:b/>
                <w:color w:val="FFFFFF"/>
                <w:sz w:val="20"/>
              </w:rPr>
              <w:t>지표</w:t>
            </w:r>
          </w:p>
        </w:tc>
        <w:tc>
          <w:tcPr>
            <w:tcW w:type="dxa" w:w="2835"/>
            <w:shd w:val="clear" w:color="auto" w:fill="1E3270"/>
          </w:tcPr>
          <w:p>
            <w:pPr>
              <w:jc w:val="center"/>
            </w:pPr>
            <w:r/>
            <w:r>
              <w:rPr>
                <w:rFonts w:ascii="맑은 고딕" w:hAnsi="맑은 고딕" w:eastAsia="맑은 고딕"/>
                <w:b/>
                <w:color w:val="FFFFFF"/>
                <w:sz w:val="20"/>
              </w:rPr>
              <w:t>삼성전자</w:t>
            </w:r>
          </w:p>
        </w:tc>
        <w:tc>
          <w:tcPr>
            <w:tcW w:type="dxa" w:w="2835"/>
            <w:shd w:val="clear" w:color="auto" w:fill="1E3270"/>
          </w:tcPr>
          <w:p>
            <w:pPr>
              <w:jc w:val="center"/>
            </w:pPr>
            <w:r/>
            <w:r>
              <w:rPr>
                <w:rFonts w:ascii="맑은 고딕" w:hAnsi="맑은 고딕" w:eastAsia="맑은 고딕"/>
                <w:b/>
                <w:color w:val="FFFFFF"/>
                <w:sz w:val="20"/>
              </w:rPr>
              <w:t>SK하이닉스</w:t>
            </w:r>
          </w:p>
        </w:tc>
      </w:tr>
      <w:tr>
        <w:tc>
          <w:tcPr>
            <w:tcW w:type="dxa" w:w="3402"/>
          </w:tcPr>
          <w:p>
            <w:pPr>
              <w:spacing w:line="300" w:lineRule="auto"/>
            </w:pPr>
            <w:r/>
            <w:r>
              <w:rPr>
                <w:rFonts w:ascii="맑은 고딕" w:hAnsi="맑은 고딕" w:eastAsia="맑은 고딕"/>
                <w:sz w:val="19"/>
              </w:rPr>
              <w:t>2026년 1~5월 누적 외인 순매도</w:t>
            </w:r>
          </w:p>
        </w:tc>
        <w:tc>
          <w:tcPr>
            <w:tcW w:type="dxa" w:w="2835"/>
          </w:tcPr>
          <w:p>
            <w:pPr>
              <w:spacing w:line="300" w:lineRule="auto"/>
            </w:pPr>
            <w:r/>
            <w:r>
              <w:rPr>
                <w:rFonts w:ascii="맑은 고딕" w:hAnsi="맑은 고딕" w:eastAsia="맑은 고딕"/>
                <w:sz w:val="19"/>
              </w:rPr>
              <w:t>약 ₩42~50.4조</w:t>
            </w:r>
          </w:p>
        </w:tc>
        <w:tc>
          <w:tcPr>
            <w:tcW w:type="dxa" w:w="2835"/>
          </w:tcPr>
          <w:p>
            <w:pPr>
              <w:spacing w:line="300" w:lineRule="auto"/>
            </w:pPr>
            <w:r/>
            <w:r>
              <w:rPr>
                <w:rFonts w:ascii="맑은 고딕" w:hAnsi="맑은 고딕" w:eastAsia="맑은 고딕"/>
                <w:sz w:val="19"/>
              </w:rPr>
              <w:t>약 ₩17~34.4조</w:t>
            </w:r>
          </w:p>
        </w:tc>
      </w:tr>
      <w:tr>
        <w:tc>
          <w:tcPr>
            <w:tcW w:type="dxa" w:w="3402"/>
          </w:tcPr>
          <w:p>
            <w:pPr>
              <w:spacing w:line="300" w:lineRule="auto"/>
            </w:pPr>
            <w:r/>
            <w:r>
              <w:rPr>
                <w:rFonts w:ascii="맑은 고딕" w:hAnsi="맑은 고딕" w:eastAsia="맑은 고딕"/>
                <w:sz w:val="19"/>
              </w:rPr>
              <w:t>외국인 보유 비중 변화 (연초→6월)</w:t>
            </w:r>
          </w:p>
        </w:tc>
        <w:tc>
          <w:tcPr>
            <w:tcW w:type="dxa" w:w="2835"/>
          </w:tcPr>
          <w:p>
            <w:pPr>
              <w:spacing w:line="300" w:lineRule="auto"/>
            </w:pPr>
            <w:r/>
            <w:r>
              <w:rPr>
                <w:rFonts w:ascii="맑은 고딕" w:hAnsi="맑은 고딕" w:eastAsia="맑은 고딕"/>
                <w:sz w:val="19"/>
              </w:rPr>
              <w:t>52.4% → 47.6% (-4.8%p)</w:t>
            </w:r>
          </w:p>
        </w:tc>
        <w:tc>
          <w:tcPr>
            <w:tcW w:type="dxa" w:w="2835"/>
          </w:tcPr>
          <w:p>
            <w:pPr>
              <w:spacing w:line="300" w:lineRule="auto"/>
            </w:pPr>
            <w:r/>
            <w:r>
              <w:rPr>
                <w:rFonts w:ascii="맑은 고딕" w:hAnsi="맑은 고딕" w:eastAsia="맑은 고딕"/>
                <w:sz w:val="19"/>
              </w:rPr>
              <w:t>53.8% → 51.3% (-2.5%p)</w:t>
            </w:r>
          </w:p>
        </w:tc>
      </w:tr>
      <w:tr>
        <w:tc>
          <w:tcPr>
            <w:tcW w:type="dxa" w:w="3402"/>
          </w:tcPr>
          <w:p>
            <w:pPr>
              <w:spacing w:line="300" w:lineRule="auto"/>
            </w:pPr>
            <w:r/>
            <w:r>
              <w:rPr>
                <w:rFonts w:ascii="맑은 고딕" w:hAnsi="맑은 고딕" w:eastAsia="맑은 고딕"/>
                <w:sz w:val="19"/>
              </w:rPr>
              <w:t>KOSPI 전체 외인 순매도 (2026 YTD)</w:t>
            </w:r>
          </w:p>
        </w:tc>
        <w:tc>
          <w:tcPr>
            <w:tcW w:type="dxa" w:w="2835"/>
          </w:tcPr>
          <w:p>
            <w:pPr>
              <w:spacing w:line="300" w:lineRule="auto"/>
            </w:pPr>
            <w:r/>
            <w:r>
              <w:rPr>
                <w:rFonts w:ascii="맑은 고딕" w:hAnsi="맑은 고딕" w:eastAsia="맑은 고딕"/>
                <w:sz w:val="19"/>
              </w:rPr>
              <w:t>약 ₩94조 이상</w:t>
            </w:r>
          </w:p>
        </w:tc>
        <w:tc>
          <w:tcPr>
            <w:tcW w:type="dxa" w:w="2835"/>
          </w:tcPr>
          <w:p>
            <w:pPr>
              <w:spacing w:line="300" w:lineRule="auto"/>
            </w:pPr>
            <w:r/>
            <w:r>
              <w:rPr>
                <w:rFonts w:ascii="맑은 고딕" w:hAnsi="맑은 고딕" w:eastAsia="맑은 고딕"/>
                <w:sz w:val="19"/>
              </w:rPr>
              <w:t>(상동)</w:t>
            </w:r>
          </w:p>
        </w:tc>
      </w:tr>
    </w:tbl>
    <w:p/>
    <w:p>
      <w:pPr>
        <w:spacing w:after="80" w:line="324" w:lineRule="auto"/>
      </w:pPr>
      <w:r>
        <w:rPr>
          <w:rFonts w:ascii="맑은 고딕" w:hAnsi="맑은 고딕" w:eastAsia="맑은 고딕"/>
          <w:b w:val="0"/>
          <w:i w:val="0"/>
          <w:sz w:val="21"/>
        </w:rPr>
        <w:t>주목할 점은, 외국인이 ₩94조를 순매도했음에도 외국인의 KOSPI 시가총액 비중은 36.67%에서 39.33%로 오히려 상승했다는 사실입니다. 이는 (1) 패시브 펀드가 KOSPI 급등으로 인한 비중 초과분을 기계적으로 매도한 메커니컬 리밸런싱 성격이 강하고, (2) MSCI EM 내 한국 비중이 8개월 만에 2배로 증가(약 21%, 대만 25%·중국 22% 추격)했음을 시사합니다. Nomura 전략가도 외국인 매도를 "메커니컬·차익실현 성격이며 펀더멘털 부정 시각 아님"으로 평가하고 있습니다.</w:t>
      </w:r>
    </w:p>
    <w:p>
      <w:r>
        <w:br w:type="page"/>
      </w:r>
    </w:p>
    <w:p>
      <w:r>
        <w:rPr>
          <w:rFonts w:ascii="맑은 고딕" w:hAnsi="맑은 고딕" w:eastAsia="맑은 고딕"/>
          <w:b/>
          <w:color w:val="1E326E"/>
          <w:sz w:val="32"/>
        </w:rPr>
        <w:t>5. 시장 심리 — 6/26 KOSPI 8% 급락 해부, 외국인 매도 원인</w:t>
      </w:r>
    </w:p>
    <w:p>
      <w:r>
        <w:rPr>
          <w:rFonts w:ascii="맑은 고딕" w:hAnsi="맑은 고딕" w:eastAsia="맑은 고딕"/>
          <w:b/>
          <w:color w:val="1E326E"/>
          <w:sz w:val="26"/>
        </w:rPr>
        <w:t>5-1. 2026-06-26 KOSPI 8.18% 급락의 해부</w:t>
      </w:r>
    </w:p>
    <w:p>
      <w:pPr>
        <w:spacing w:after="80" w:line="324" w:lineRule="auto"/>
      </w:pPr>
      <w:r>
        <w:rPr>
          <w:rFonts w:ascii="맑은 고딕" w:hAnsi="맑은 고딕" w:eastAsia="맑은 고딕"/>
          <w:b w:val="0"/>
          <w:i w:val="0"/>
          <w:sz w:val="21"/>
        </w:rPr>
        <w:t>2026-06-26 KOSPI가 -8.18% 급락하며 사이드카·서킷브레이커가 발동하고 20분간 거래가 정지되었습니다. 삼성전자가 -9.14%(₩358,500 → ₩325,750), SK하이닉스가 -8.36%(₩2,917,000 → ₩2,673,000) 동반 하락했고, 외국인이 장 초반에만 ₩2.5조를 순매도해 시총 합계 약 ₩366조(USD 246B)가 증발했습니다. 복합 트리거는 다음과 같습니다.</w:t>
      </w:r>
    </w:p>
    <w:p>
      <w:pPr>
        <w:pStyle w:val="ListBullet"/>
        <w:spacing w:after="60" w:line="312" w:lineRule="auto"/>
      </w:pPr>
      <w:r>
        <w:rPr>
          <w:rFonts w:ascii="맑은 고딕" w:hAnsi="맑은 고딕" w:eastAsia="맑은 고딕"/>
          <w:b/>
          <w:sz w:val="21"/>
        </w:rPr>
        <w:t xml:space="preserve">(a) 미국 5월 PCE 4.1% 발표: </w:t>
      </w:r>
      <w:r>
        <w:rPr>
          <w:rFonts w:ascii="맑은 고딕" w:hAnsi="맑은 고딕" w:eastAsia="맑은 고딕"/>
          <w:sz w:val="21"/>
        </w:rPr>
        <w:t xml:space="preserve"> 시장 컨센서스를 상회한 인플레 재가속 → Fed 추가 인상 우려 점화.</w:t>
      </w:r>
    </w:p>
    <w:p>
      <w:pPr>
        <w:pStyle w:val="ListBullet"/>
        <w:spacing w:after="60" w:line="312" w:lineRule="auto"/>
      </w:pPr>
      <w:r>
        <w:rPr>
          <w:rFonts w:ascii="맑은 고딕" w:hAnsi="맑은 고딕" w:eastAsia="맑은 고딕"/>
          <w:b/>
          <w:sz w:val="21"/>
        </w:rPr>
        <w:t xml:space="preserve">(b) MSCI 선진국 편입 3년 연속 불발 (2026-06-23): </w:t>
      </w:r>
      <w:r>
        <w:rPr>
          <w:rFonts w:ascii="맑은 고딕" w:hAnsi="맑은 고딕" w:eastAsia="맑은 고딕"/>
          <w:sz w:val="21"/>
        </w:rPr>
        <w:t xml:space="preserve"> 한국 신흥국 유지·관찰대상국 승격 거부, 통산 12번째 고배. 사유는 역외 원화 환전 제한.</w:t>
      </w:r>
    </w:p>
    <w:p>
      <w:pPr>
        <w:pStyle w:val="ListBullet"/>
        <w:spacing w:after="60" w:line="312" w:lineRule="auto"/>
      </w:pPr>
      <w:r>
        <w:rPr>
          <w:rFonts w:ascii="맑은 고딕" w:hAnsi="맑은 고딕" w:eastAsia="맑은 고딕"/>
          <w:b/>
          <w:sz w:val="21"/>
        </w:rPr>
        <w:t xml:space="preserve">(c) 환율 1,530+ 돌파: </w:t>
      </w:r>
      <w:r>
        <w:rPr>
          <w:rFonts w:ascii="맑은 고딕" w:hAnsi="맑은 고딕" w:eastAsia="맑은 고딕"/>
          <w:sz w:val="21"/>
        </w:rPr>
        <w:t xml:space="preserve"> 원/달러 1,538원으로 금융위기 후 최고치 부근, 외국인 환차손 가중.</w:t>
      </w:r>
    </w:p>
    <w:p>
      <w:pPr>
        <w:pStyle w:val="ListBullet"/>
        <w:spacing w:after="60" w:line="312" w:lineRule="auto"/>
      </w:pPr>
      <w:r>
        <w:rPr>
          <w:rFonts w:ascii="맑은 고딕" w:hAnsi="맑은 고딕" w:eastAsia="맑은 고딕"/>
          <w:b/>
          <w:sz w:val="21"/>
        </w:rPr>
        <w:t xml:space="preserve">(d) AI 버블 우려: </w:t>
      </w:r>
      <w:r>
        <w:rPr>
          <w:rFonts w:ascii="맑은 고딕" w:hAnsi="맑은 고딕" w:eastAsia="맑은 고딕"/>
          <w:sz w:val="21"/>
        </w:rPr>
        <w:t xml:space="preserve"> Broadcom 6/4 가이던스 미스 이후 글로벌 AI 칩 sell-off 지속.</w:t>
      </w:r>
    </w:p>
    <w:p>
      <w:r>
        <w:rPr>
          <w:rFonts w:ascii="맑은 고딕" w:hAnsi="맑은 고딕" w:eastAsia="맑은 고딕"/>
          <w:b/>
          <w:color w:val="1E326E"/>
          <w:sz w:val="26"/>
        </w:rPr>
        <w:t>5-2. 6/26 급락의 해석 — 매크로 패닉인가 시장 시그널인가</w:t>
      </w:r>
    </w:p>
    <w:p>
      <w:pPr>
        <w:spacing w:after="80" w:line="324" w:lineRule="auto"/>
      </w:pPr>
      <w:r>
        <w:rPr>
          <w:rFonts w:ascii="맑은 고딕" w:hAnsi="맑은 고딕" w:eastAsia="맑은 고딕"/>
          <w:b w:val="0"/>
          <w:i w:val="0"/>
          <w:sz w:val="21"/>
        </w:rPr>
        <w:t>결론은 "70% 매크로 패닉 + 30% 부분적 시장 시그널"입니다. 매크로 패닉 근거는 PCE·MSCI·서킷브레이커·외인 단일일 매도·전 종목 동반 하락 패턴이며, 한국 메모리 펀더멘털 자체의 훼손은 확인되지 않습니다. 1Q26 실적은 양사 모두 사상 최대였고(삼성 OP ₩57.2조, SK OP ₩37.6조 OPM 72%), 모건스탠리는 6월 들어 SK하이닉스 Overweight를 유지하며 목표주가를 ₩730k에서 ₩840k로 상향했습니다.</w:t>
      </w:r>
    </w:p>
    <w:p>
      <w:pPr>
        <w:spacing w:after="80" w:line="324" w:lineRule="auto"/>
      </w:pPr>
      <w:r>
        <w:rPr>
          <w:rFonts w:ascii="맑은 고딕" w:hAnsi="맑은 고딕" w:eastAsia="맑은 고딕"/>
          <w:b w:val="0"/>
          <w:i w:val="0"/>
          <w:sz w:val="21"/>
        </w:rPr>
        <w:t>다만 30% 시장 시그널 측면도 있습니다. 멀티플이 사이클 정점을 선반영한 상태에서 작은 트리거에도 과민 반응하는 구조이며, 향후 6개월 안에 유사한 트리거(예: Fed 추가 매파 surprise, 빅테크 capex 가이던스 둔화)가 반복될 경우 매도 강도가 누적될 위험이 있습니다. 따라서 6/26 급락을 단순한 "역발상 매수 기회"로 100% 활용하기보다는 75~80%만 활용하고 현금 20~25%를 보유하는 신중한 분할이 합리적입니다.</w:t>
      </w:r>
    </w:p>
    <w:p>
      <w:r>
        <w:rPr>
          <w:rFonts w:ascii="맑은 고딕" w:hAnsi="맑은 고딕" w:eastAsia="맑은 고딕"/>
          <w:b/>
          <w:color w:val="1E326E"/>
          <w:sz w:val="26"/>
        </w:rPr>
        <w:t>5-3. 외국인 순매도 원인 — 사용자가 가장 궁금해하셨던 부분</w:t>
      </w:r>
    </w:p>
    <w:p>
      <w:pPr>
        <w:spacing w:after="80" w:line="324" w:lineRule="auto"/>
      </w:pPr>
      <w:r>
        <w:rPr>
          <w:rFonts w:ascii="맑은 고딕" w:hAnsi="맑은 고딕" w:eastAsia="맑은 고딕"/>
          <w:b w:val="0"/>
          <w:i w:val="0"/>
          <w:sz w:val="21"/>
        </w:rPr>
        <w:t>사용자께서 외국인의 대규모 매도 원인을 묻으셨습니다. 1차 출처(KRX, 한국투자증권 계량 주보, Nomura·Bloomberg·Reuters 보도)를 종합한 결과 원인은 단일 요인이 아니라 다음 3중 구조로 분해됩니다.</w:t>
      </w:r>
    </w:p>
    <w:tbl>
      <w:tblPr>
        <w:tblStyle w:val="LightGrid-Accent1"/>
        <w:tblW w:type="auto" w:w="0"/>
        <w:tblLook w:firstColumn="1" w:firstRow="1" w:lastColumn="0" w:lastRow="0" w:noHBand="0" w:noVBand="1" w:val="04A0"/>
      </w:tblPr>
      <w:tblGrid>
        <w:gridCol w:w="3324"/>
        <w:gridCol w:w="3324"/>
        <w:gridCol w:w="3324"/>
      </w:tblGrid>
      <w:tr>
        <w:tc>
          <w:tcPr>
            <w:tcW w:type="dxa" w:w="3402"/>
            <w:shd w:val="clear" w:color="auto" w:fill="1E3270"/>
          </w:tcPr>
          <w:p>
            <w:pPr>
              <w:jc w:val="center"/>
            </w:pPr>
            <w:r/>
            <w:r>
              <w:rPr>
                <w:rFonts w:ascii="맑은 고딕" w:hAnsi="맑은 고딕" w:eastAsia="맑은 고딕"/>
                <w:b/>
                <w:color w:val="FFFFFF"/>
                <w:sz w:val="20"/>
              </w:rPr>
              <w:t>원인</w:t>
            </w:r>
          </w:p>
        </w:tc>
        <w:tc>
          <w:tcPr>
            <w:tcW w:type="dxa" w:w="1417"/>
            <w:shd w:val="clear" w:color="auto" w:fill="1E3270"/>
          </w:tcPr>
          <w:p>
            <w:pPr>
              <w:jc w:val="center"/>
            </w:pPr>
            <w:r/>
            <w:r>
              <w:rPr>
                <w:rFonts w:ascii="맑은 고딕" w:hAnsi="맑은 고딕" w:eastAsia="맑은 고딕"/>
                <w:b/>
                <w:color w:val="FFFFFF"/>
                <w:sz w:val="20"/>
              </w:rPr>
              <w:t>가중치</w:t>
            </w:r>
          </w:p>
        </w:tc>
        <w:tc>
          <w:tcPr>
            <w:tcW w:type="dxa" w:w="4252"/>
            <w:shd w:val="clear" w:color="auto" w:fill="1E3270"/>
          </w:tcPr>
          <w:p>
            <w:pPr>
              <w:jc w:val="center"/>
            </w:pPr>
            <w:r/>
            <w:r>
              <w:rPr>
                <w:rFonts w:ascii="맑은 고딕" w:hAnsi="맑은 고딕" w:eastAsia="맑은 고딕"/>
                <w:b/>
                <w:color w:val="FFFFFF"/>
                <w:sz w:val="20"/>
              </w:rPr>
              <w:t>근거</w:t>
            </w:r>
          </w:p>
        </w:tc>
      </w:tr>
      <w:tr>
        <w:tc>
          <w:tcPr>
            <w:tcW w:type="dxa" w:w="3402"/>
          </w:tcPr>
          <w:p>
            <w:pPr>
              <w:spacing w:line="300" w:lineRule="auto"/>
            </w:pPr>
            <w:r/>
            <w:r>
              <w:rPr>
                <w:rFonts w:ascii="맑은 고딕" w:hAnsi="맑은 고딕" w:eastAsia="맑은 고딕"/>
                <w:sz w:val="19"/>
              </w:rPr>
              <w:t>(A) MSCI EM 비중 메커니컬 리밸런싱 + 차익실현</w:t>
            </w:r>
          </w:p>
        </w:tc>
        <w:tc>
          <w:tcPr>
            <w:tcW w:type="dxa" w:w="1417"/>
          </w:tcPr>
          <w:p>
            <w:pPr>
              <w:spacing w:line="300" w:lineRule="auto"/>
            </w:pPr>
            <w:r/>
            <w:r>
              <w:rPr>
                <w:rFonts w:ascii="맑은 고딕" w:hAnsi="맑은 고딕" w:eastAsia="맑은 고딕"/>
                <w:sz w:val="19"/>
              </w:rPr>
              <w:t>최상위</w:t>
            </w:r>
          </w:p>
        </w:tc>
        <w:tc>
          <w:tcPr>
            <w:tcW w:type="dxa" w:w="4252"/>
          </w:tcPr>
          <w:p>
            <w:pPr>
              <w:spacing w:line="300" w:lineRule="auto"/>
            </w:pPr>
            <w:r/>
            <w:r>
              <w:rPr>
                <w:rFonts w:ascii="맑은 고딕" w:hAnsi="맑은 고딕" w:eastAsia="맑은 고딕"/>
                <w:sz w:val="19"/>
              </w:rPr>
              <w:t>KOSPI 사상 최고 랠리로 비중 초과 → 패시브 자금 강제 트림. Nomura가 "메커니컬·펀더멘털 부정 아님"으로 직접 명시.</w:t>
            </w:r>
          </w:p>
        </w:tc>
      </w:tr>
      <w:tr>
        <w:tc>
          <w:tcPr>
            <w:tcW w:type="dxa" w:w="3402"/>
          </w:tcPr>
          <w:p>
            <w:pPr>
              <w:spacing w:line="300" w:lineRule="auto"/>
            </w:pPr>
            <w:r/>
            <w:r>
              <w:rPr>
                <w:rFonts w:ascii="맑은 고딕" w:hAnsi="맑은 고딕" w:eastAsia="맑은 고딕"/>
                <w:sz w:val="19"/>
              </w:rPr>
              <w:t>(B) 원화 약세 환차손 우려</w:t>
            </w:r>
          </w:p>
        </w:tc>
        <w:tc>
          <w:tcPr>
            <w:tcW w:type="dxa" w:w="1417"/>
          </w:tcPr>
          <w:p>
            <w:pPr>
              <w:spacing w:line="300" w:lineRule="auto"/>
            </w:pPr>
            <w:r/>
            <w:r>
              <w:rPr>
                <w:rFonts w:ascii="맑은 고딕" w:hAnsi="맑은 고딕" w:eastAsia="맑은 고딕"/>
                <w:sz w:val="19"/>
              </w:rPr>
              <w:t>상위</w:t>
            </w:r>
          </w:p>
        </w:tc>
        <w:tc>
          <w:tcPr>
            <w:tcW w:type="dxa" w:w="4252"/>
          </w:tcPr>
          <w:p>
            <w:pPr>
              <w:spacing w:line="300" w:lineRule="auto"/>
            </w:pPr>
            <w:r/>
            <w:r>
              <w:rPr>
                <w:rFonts w:ascii="맑은 고딕" w:hAnsi="맑은 고딕" w:eastAsia="맑은 고딕"/>
                <w:sz w:val="19"/>
              </w:rPr>
              <w:t>KRW 12개월 -12.7%, USD 환산 평가손익 악화. Fed 매파 + BOK 동결의 명목금리 차 -125bp.</w:t>
            </w:r>
          </w:p>
        </w:tc>
      </w:tr>
      <w:tr>
        <w:tc>
          <w:tcPr>
            <w:tcW w:type="dxa" w:w="3402"/>
          </w:tcPr>
          <w:p>
            <w:pPr>
              <w:spacing w:line="300" w:lineRule="auto"/>
            </w:pPr>
            <w:r/>
            <w:r>
              <w:rPr>
                <w:rFonts w:ascii="맑은 고딕" w:hAnsi="맑은 고딕" w:eastAsia="맑은 고딕"/>
                <w:sz w:val="19"/>
              </w:rPr>
              <w:t>(C) AI 버블 우려 (Broadcom 트리거)</w:t>
            </w:r>
          </w:p>
        </w:tc>
        <w:tc>
          <w:tcPr>
            <w:tcW w:type="dxa" w:w="1417"/>
          </w:tcPr>
          <w:p>
            <w:pPr>
              <w:spacing w:line="300" w:lineRule="auto"/>
            </w:pPr>
            <w:r/>
            <w:r>
              <w:rPr>
                <w:rFonts w:ascii="맑은 고딕" w:hAnsi="맑은 고딕" w:eastAsia="맑은 고딕"/>
                <w:sz w:val="19"/>
              </w:rPr>
              <w:t>상위</w:t>
            </w:r>
          </w:p>
        </w:tc>
        <w:tc>
          <w:tcPr>
            <w:tcW w:type="dxa" w:w="4252"/>
          </w:tcPr>
          <w:p>
            <w:pPr>
              <w:spacing w:line="300" w:lineRule="auto"/>
            </w:pPr>
            <w:r/>
            <w:r>
              <w:rPr>
                <w:rFonts w:ascii="맑은 고딕" w:hAnsi="맑은 고딕" w:eastAsia="맑은 고딕"/>
                <w:sz w:val="19"/>
              </w:rPr>
              <w:t>6/4 Broadcom 가이던스 미스 → 글로벌 칩 sell-off 촉발. NASDAQ 2025-04 이후 최악.</w:t>
            </w:r>
          </w:p>
        </w:tc>
      </w:tr>
      <w:tr>
        <w:tc>
          <w:tcPr>
            <w:tcW w:type="dxa" w:w="3402"/>
          </w:tcPr>
          <w:p>
            <w:pPr>
              <w:spacing w:line="300" w:lineRule="auto"/>
            </w:pPr>
            <w:r/>
            <w:r>
              <w:rPr>
                <w:rFonts w:ascii="맑은 고딕" w:hAnsi="맑은 고딕" w:eastAsia="맑은 고딕"/>
                <w:sz w:val="19"/>
              </w:rPr>
              <w:t>(D) MSCI 선진국 편입 3년 연속 불발</w:t>
            </w:r>
          </w:p>
        </w:tc>
        <w:tc>
          <w:tcPr>
            <w:tcW w:type="dxa" w:w="1417"/>
          </w:tcPr>
          <w:p>
            <w:pPr>
              <w:spacing w:line="300" w:lineRule="auto"/>
            </w:pPr>
            <w:r/>
            <w:r>
              <w:rPr>
                <w:rFonts w:ascii="맑은 고딕" w:hAnsi="맑은 고딕" w:eastAsia="맑은 고딕"/>
                <w:sz w:val="19"/>
              </w:rPr>
              <w:t>중간</w:t>
            </w:r>
          </w:p>
        </w:tc>
        <w:tc>
          <w:tcPr>
            <w:tcW w:type="dxa" w:w="4252"/>
          </w:tcPr>
          <w:p>
            <w:pPr>
              <w:spacing w:line="300" w:lineRule="auto"/>
            </w:pPr>
            <w:r/>
            <w:r>
              <w:rPr>
                <w:rFonts w:ascii="맑은 고딕" w:hAnsi="맑은 고딕" w:eastAsia="맑은 고딕"/>
                <w:sz w:val="19"/>
              </w:rPr>
              <w:t>6/23 발표, 패시브 신규자금 유입 시점 지연.</w:t>
            </w:r>
          </w:p>
        </w:tc>
      </w:tr>
      <w:tr>
        <w:tc>
          <w:tcPr>
            <w:tcW w:type="dxa" w:w="3402"/>
          </w:tcPr>
          <w:p>
            <w:pPr>
              <w:spacing w:line="300" w:lineRule="auto"/>
            </w:pPr>
            <w:r/>
            <w:r>
              <w:rPr>
                <w:rFonts w:ascii="맑은 고딕" w:hAnsi="맑은 고딕" w:eastAsia="맑은 고딕"/>
                <w:sz w:val="19"/>
              </w:rPr>
              <w:t>(E) 중국 CXMT 추격 우려</w:t>
            </w:r>
          </w:p>
        </w:tc>
        <w:tc>
          <w:tcPr>
            <w:tcW w:type="dxa" w:w="1417"/>
          </w:tcPr>
          <w:p>
            <w:pPr>
              <w:spacing w:line="300" w:lineRule="auto"/>
            </w:pPr>
            <w:r/>
            <w:r>
              <w:rPr>
                <w:rFonts w:ascii="맑은 고딕" w:hAnsi="맑은 고딕" w:eastAsia="맑은 고딕"/>
                <w:sz w:val="19"/>
              </w:rPr>
              <w:t>중간</w:t>
            </w:r>
          </w:p>
        </w:tc>
        <w:tc>
          <w:tcPr>
            <w:tcW w:type="dxa" w:w="4252"/>
          </w:tcPr>
          <w:p>
            <w:pPr>
              <w:spacing w:line="300" w:lineRule="auto"/>
            </w:pPr>
            <w:r/>
            <w:r>
              <w:rPr>
                <w:rFonts w:ascii="맑은 고딕" w:hAnsi="맑은 고딕" w:eastAsia="맑은 고딕"/>
                <w:sz w:val="19"/>
              </w:rPr>
              <w:t>DDR5-8000 양산, HBM3 연내 계획. 단 32Gb 대비 한 세대 뒤.</w:t>
            </w:r>
          </w:p>
        </w:tc>
      </w:tr>
      <w:tr>
        <w:tc>
          <w:tcPr>
            <w:tcW w:type="dxa" w:w="3402"/>
          </w:tcPr>
          <w:p>
            <w:pPr>
              <w:spacing w:line="300" w:lineRule="auto"/>
            </w:pPr>
            <w:r/>
            <w:r>
              <w:rPr>
                <w:rFonts w:ascii="맑은 고딕" w:hAnsi="맑은 고딕" w:eastAsia="맑은 고딕"/>
                <w:sz w:val="19"/>
              </w:rPr>
              <w:t>(F) HBM 사이클 피크 우려</w:t>
            </w:r>
          </w:p>
        </w:tc>
        <w:tc>
          <w:tcPr>
            <w:tcW w:type="dxa" w:w="1417"/>
          </w:tcPr>
          <w:p>
            <w:pPr>
              <w:spacing w:line="300" w:lineRule="auto"/>
            </w:pPr>
            <w:r/>
            <w:r>
              <w:rPr>
                <w:rFonts w:ascii="맑은 고딕" w:hAnsi="맑은 고딕" w:eastAsia="맑은 고딕"/>
                <w:sz w:val="19"/>
              </w:rPr>
              <w:t>하향 중</w:t>
            </w:r>
          </w:p>
        </w:tc>
        <w:tc>
          <w:tcPr>
            <w:tcW w:type="dxa" w:w="4252"/>
          </w:tcPr>
          <w:p>
            <w:pPr>
              <w:spacing w:line="300" w:lineRule="auto"/>
            </w:pPr>
            <w:r/>
            <w:r>
              <w:rPr>
                <w:rFonts w:ascii="맑은 고딕" w:hAnsi="맑은 고딕" w:eastAsia="맑은 고딕"/>
                <w:sz w:val="19"/>
              </w:rPr>
              <w:t>모건스탠리가 6월 들어 SK 목표가 상향. "Winter is coming" 톤은 약화.</w:t>
            </w:r>
          </w:p>
        </w:tc>
      </w:tr>
      <w:tr>
        <w:tc>
          <w:tcPr>
            <w:tcW w:type="dxa" w:w="3402"/>
          </w:tcPr>
          <w:p>
            <w:pPr>
              <w:spacing w:line="300" w:lineRule="auto"/>
            </w:pPr>
            <w:r/>
            <w:r>
              <w:rPr>
                <w:rFonts w:ascii="맑은 고딕" w:hAnsi="맑은 고딕" w:eastAsia="맑은 고딕"/>
                <w:sz w:val="19"/>
              </w:rPr>
              <w:t>(G) 한국 정치 리스크</w:t>
            </w:r>
          </w:p>
        </w:tc>
        <w:tc>
          <w:tcPr>
            <w:tcW w:type="dxa" w:w="1417"/>
          </w:tcPr>
          <w:p>
            <w:pPr>
              <w:spacing w:line="300" w:lineRule="auto"/>
            </w:pPr>
            <w:r/>
            <w:r>
              <w:rPr>
                <w:rFonts w:ascii="맑은 고딕" w:hAnsi="맑은 고딕" w:eastAsia="맑은 고딕"/>
                <w:sz w:val="19"/>
              </w:rPr>
              <w:t>낮음</w:t>
            </w:r>
          </w:p>
        </w:tc>
        <w:tc>
          <w:tcPr>
            <w:tcW w:type="dxa" w:w="4252"/>
          </w:tcPr>
          <w:p>
            <w:pPr>
              <w:spacing w:line="300" w:lineRule="auto"/>
            </w:pPr>
            <w:r/>
            <w:r>
              <w:rPr>
                <w:rFonts w:ascii="맑은 고딕" w:hAnsi="맑은 고딕" w:eastAsia="맑은 고딕"/>
                <w:sz w:val="19"/>
              </w:rPr>
              <w:t>1차 출처에서 정치 리스크와 외인 매도 직접 인과 보도 확인 불가.</w:t>
            </w:r>
          </w:p>
        </w:tc>
      </w:tr>
    </w:tbl>
    <w:p/>
    <w:p>
      <w:pPr>
        <w:spacing w:after="80" w:line="324" w:lineRule="auto"/>
      </w:pPr>
      <w:r>
        <w:rPr>
          <w:rFonts w:ascii="맑은 고딕" w:hAnsi="맑은 고딕" w:eastAsia="맑은 고딕"/>
          <w:b w:val="0"/>
          <w:i w:val="0"/>
          <w:sz w:val="21"/>
        </w:rPr>
        <w:t>1차 결론: 가장 강한 동인은 (A) 메커니컬 리밸런싱 + (B) 차익실현 결합이며, (C) 환·(D) AI 버블·(E) MSCI 불발이 가속 요인으로 작동하고 있습니다. 즉 외국인 매도는 "한국 메모리 펀더멘털에 대한 부정적 신호"가 아니라 "외생 변수와 인덱스 구조의 결합"이 본질입니다. 이 진단이 정확하다면 외인 매도가 종료되는 시점은 (1) MSCI 리밸런싱 일정 종료(9월경)와 (2) 환율 안정이 동시 충족되는 시점입니다.</w:t>
      </w:r>
    </w:p>
    <w:p>
      <w:r>
        <w:rPr>
          <w:rFonts w:ascii="맑은 고딕" w:hAnsi="맑은 고딕" w:eastAsia="맑은 고딕"/>
          <w:b/>
          <w:color w:val="1E326E"/>
          <w:sz w:val="26"/>
        </w:rPr>
        <w:t>5-4. 1Q26 실적 — 사상 최대치 갱신</w:t>
      </w:r>
    </w:p>
    <w:p>
      <w:pPr>
        <w:spacing w:after="80" w:line="324" w:lineRule="auto"/>
      </w:pPr>
      <w:r>
        <w:rPr>
          <w:rFonts w:ascii="맑은 고딕" w:hAnsi="맑은 고딕" w:eastAsia="맑은 고딕"/>
          <w:b w:val="0"/>
          <w:i w:val="0"/>
          <w:sz w:val="21"/>
        </w:rPr>
        <w:t>삼성전자 1Q26 매출은 ₩133.9조, 영업이익은 ₩57.2조로 국내 기업 최초로 단일 분기 OP ₩50조를 돌파했습니다. 영업이익의 90% 이상이 메모리에서 발생했습니다. SK하이닉스 1Q26 매출은 ₩52.58조, 영업이익은 ₩37.61조로 OPM 72%를 기록했으며, 분기 매출이 사상 최초로 ₩50조를 돌파한 창사 이래 최고 실적이었습니다.</w:t>
      </w:r>
    </w:p>
    <w:p>
      <w:r>
        <w:rPr>
          <w:rFonts w:ascii="맑은 고딕" w:hAnsi="맑은 고딕" w:eastAsia="맑은 고딕"/>
          <w:b/>
          <w:color w:val="1E326E"/>
          <w:sz w:val="26"/>
        </w:rPr>
        <w:t>5-5. 엔터프라이즈 AI ARR 가속 — B2B 도메인 AI 시대의 신호</w:t>
      </w:r>
    </w:p>
    <w:p>
      <w:pPr>
        <w:spacing w:after="80" w:line="324" w:lineRule="auto"/>
      </w:pPr>
      <w:r>
        <w:rPr>
          <w:rFonts w:ascii="맑은 고딕" w:hAnsi="맑은 고딕" w:eastAsia="맑은 고딕"/>
          <w:b w:val="0"/>
          <w:i w:val="0"/>
          <w:sz w:val="21"/>
        </w:rPr>
        <w:t>사용자께서 "향후 AI가 완성 단계에 들어가면 B2B 도메인 특화 AI에서 ROI가 본격적으로 발생할 것"이라고 지적하셨습니다. 이 가설을 뒷받침하는 1차 데이터가 2026년 들어 누적되고 있습니다.</w:t>
      </w:r>
    </w:p>
    <w:p>
      <w:pPr>
        <w:pStyle w:val="ListBullet"/>
        <w:spacing w:after="60" w:line="312" w:lineRule="auto"/>
      </w:pPr>
      <w:r>
        <w:rPr>
          <w:rFonts w:ascii="맑은 고딕" w:hAnsi="맑은 고딕" w:eastAsia="맑은 고딕"/>
          <w:b/>
          <w:sz w:val="21"/>
        </w:rPr>
        <w:t xml:space="preserve">Salesforce Agentforce: </w:t>
      </w:r>
      <w:r>
        <w:rPr>
          <w:rFonts w:ascii="맑은 고딕" w:hAnsi="맑은 고딕" w:eastAsia="맑은 고딕"/>
          <w:sz w:val="21"/>
        </w:rPr>
        <w:t xml:space="preserve"> FY26 마감 시점 매출 USD 41.5B, Agentforce ARR USD 800M, 29,000건 딜 마감(QoQ +50%). FY27 1Q에는 Agentforce ARR이 USD 1.2B(YoY +205%)로 가속.</w:t>
      </w:r>
    </w:p>
    <w:p>
      <w:pPr>
        <w:pStyle w:val="ListBullet"/>
        <w:spacing w:after="60" w:line="312" w:lineRule="auto"/>
      </w:pPr>
      <w:r>
        <w:rPr>
          <w:rFonts w:ascii="맑은 고딕" w:hAnsi="맑은 고딕" w:eastAsia="맑은 고딕"/>
          <w:b/>
          <w:sz w:val="21"/>
        </w:rPr>
        <w:t xml:space="preserve">ServiceNow Now Assist: </w:t>
      </w:r>
      <w:r>
        <w:rPr>
          <w:rFonts w:ascii="맑은 고딕" w:hAnsi="맑은 고딕" w:eastAsia="맑은 고딕"/>
          <w:sz w:val="21"/>
        </w:rPr>
        <w:t xml:space="preserve"> 목표 계약 가치를 USD 1.0B → USD 1.5B로 상향. Zurich 릴리즈로 IT·HR·보안 워크플로우 AI 자동화 강화.</w:t>
      </w:r>
    </w:p>
    <w:p>
      <w:pPr>
        <w:pStyle w:val="ListBullet"/>
        <w:spacing w:after="60" w:line="312" w:lineRule="auto"/>
      </w:pPr>
      <w:r>
        <w:rPr>
          <w:rFonts w:ascii="맑은 고딕" w:hAnsi="맑은 고딕" w:eastAsia="맑은 고딕"/>
          <w:b/>
          <w:sz w:val="21"/>
        </w:rPr>
        <w:t xml:space="preserve">Palantir: </w:t>
      </w:r>
      <w:r>
        <w:rPr>
          <w:rFonts w:ascii="맑은 고딕" w:hAnsi="맑은 고딕" w:eastAsia="맑은 고딕"/>
          <w:sz w:val="21"/>
        </w:rPr>
        <w:t xml:space="preserve"> FY26 가이던스 매출을 USD 7.66B로 상향, 미국 상업 매출 USD 3.14B 초과(YoY +115%) 가이던스. Q1 FY26 매출 USD 1.63B(YoY +85%).</w:t>
      </w:r>
    </w:p>
    <w:p>
      <w:pPr>
        <w:spacing w:after="80" w:line="324" w:lineRule="auto"/>
      </w:pPr>
      <w:r>
        <w:rPr>
          <w:rFonts w:ascii="맑은 고딕" w:hAnsi="맑은 고딕" w:eastAsia="맑은 고딕"/>
          <w:b w:val="0"/>
          <w:i w:val="0"/>
          <w:sz w:val="21"/>
        </w:rPr>
        <w:t>이는 AI 수요가 인프라(GPU·HBM)에서 어플리케이션(B2B SaaS)으로 transmit되기 시작했음을 보여줍니다. 즉 빅테크 capex 증가는 단순한 군비경쟁이 아니라 실제 수익화 단계에 진입하고 있다는 의미이며, capex 지속 가능성을 뒷받침합니다.</w:t>
      </w:r>
    </w:p>
    <w:p>
      <w:r>
        <w:br w:type="page"/>
      </w:r>
    </w:p>
    <w:p>
      <w:r>
        <w:rPr>
          <w:rFonts w:ascii="맑은 고딕" w:hAnsi="맑은 고딕" w:eastAsia="맑은 고딕"/>
          <w:b/>
          <w:color w:val="1E326E"/>
          <w:sz w:val="32"/>
        </w:rPr>
        <w:t>6. 워렌 버핏형 가치투자자 관점 (확장 주석)</w:t>
      </w:r>
    </w:p>
    <w:p>
      <w:pPr>
        <w:spacing w:after="80" w:line="324" w:lineRule="auto"/>
      </w:pPr>
      <w:r>
        <w:rPr>
          <w:rFonts w:ascii="맑은 고딕" w:hAnsi="맑은 고딕" w:eastAsia="맑은 고딕"/>
          <w:b w:val="0"/>
          <w:i w:val="0"/>
          <w:sz w:val="21"/>
        </w:rPr>
        <w:t>사용자께서 "워렌 버핏과 동일한 수준의 지식을 가진 가치투자자 에이전트의 의견을 보고서 주석으로 더 자세히 달아 달라"고 요청하셨습니다. 본 절은 그 요청에 대한 응답이며, 본 보고서의 사이클 베팅 관점(블루팀)과는 다른 frame을 제공합니다. 두 frame이 충돌하면 사용자가 자기 투자 시계와 철학에 맞게 선택할 수 있도록 둘을 병기합니다.</w:t>
      </w:r>
    </w:p>
    <w:p>
      <w:r>
        <w:rPr>
          <w:rFonts w:ascii="맑은 고딕" w:hAnsi="맑은 고딕" w:eastAsia="맑은 고딕"/>
          <w:b/>
          <w:color w:val="1E326E"/>
          <w:sz w:val="26"/>
        </w:rPr>
        <w:t>6-1. 사업을 단 한 페이지로 (One-Page Business Description)</w:t>
      </w:r>
    </w:p>
    <w:p>
      <w:pPr>
        <w:spacing w:after="80" w:line="324" w:lineRule="auto"/>
      </w:pPr>
      <w:r>
        <w:rPr>
          <w:rFonts w:ascii="맑은 고딕" w:hAnsi="맑은 고딕" w:eastAsia="맑은 고딕"/>
          <w:b w:val="0"/>
          <w:i w:val="0"/>
          <w:sz w:val="21"/>
        </w:rPr>
        <w:t>삼성전자는 세 개의 사업으로 이루어진 복합기업입니다. DS(Device Solutions) 부문은 DRAM·NAND·HBM과 파운드리·시스템LSI를 담당하며 2025년 연결 매출의 약 35~40%, 그러나 영업이익의 80~90%를 책임집니다. DX(Device eXperience) 부문은 갤럭시·TV·가전을 만들어 매출은 크지만 이익률은 한 자릿수~10%대 초반입니다. 매출 메커니즘은 "사이클성 commodity 가격 × 고정 자본투자 회수"로, DRAM·NAND 가격이 5% 움직이면 영업이익이 30~50% 흔들리는 구조입니다.</w:t>
      </w:r>
    </w:p>
    <w:p>
      <w:pPr>
        <w:spacing w:after="80" w:line="324" w:lineRule="auto"/>
      </w:pPr>
      <w:r>
        <w:rPr>
          <w:rFonts w:ascii="맑은 고딕" w:hAnsi="맑은 고딕" w:eastAsia="맑은 고딕"/>
          <w:b w:val="0"/>
          <w:i w:val="0"/>
          <w:sz w:val="21"/>
        </w:rPr>
        <w:t>SK하이닉스는 사실상 단일 사업 회사입니다. 매출의 95% 이상이 메모리(DRAM 약 60%, NAND 약 25%, HBM이 DRAM에 포함)에서 나옵니다. 고객은 NVIDIA(HBM3E·HBM4 핵심 공급), AMD, Broadcom, Apple, 빅테크 하이퍼스케일러입니다. 매출 메커니즘은 "장기계약(HBM, 2026~2027 풀부킹) + 스팟·계약가(컨벤셔널 DRAM)"의 혼합입니다.</w:t>
      </w:r>
    </w:p>
    <w:p>
      <w:r>
        <w:rPr>
          <w:rFonts w:ascii="맑은 고딕" w:hAnsi="맑은 고딕" w:eastAsia="맑은 고딕"/>
          <w:b/>
          <w:color w:val="1E326E"/>
          <w:sz w:val="26"/>
        </w:rPr>
        <w:t>6-2. 경제적 해자 7가지 프레임워크</w:t>
      </w:r>
    </w:p>
    <w:tbl>
      <w:tblPr>
        <w:tblStyle w:val="LightGrid-Accent1"/>
        <w:tblW w:type="auto" w:w="0"/>
        <w:tblLook w:firstColumn="1" w:firstRow="1" w:lastColumn="0" w:lastRow="0" w:noHBand="0" w:noVBand="1" w:val="04A0"/>
      </w:tblPr>
      <w:tblGrid>
        <w:gridCol w:w="2493"/>
        <w:gridCol w:w="2493"/>
        <w:gridCol w:w="2493"/>
        <w:gridCol w:w="2493"/>
      </w:tblGrid>
      <w:tr>
        <w:tc>
          <w:tcPr>
            <w:tcW w:type="dxa" w:w="2268"/>
            <w:shd w:val="clear" w:color="auto" w:fill="1E3270"/>
          </w:tcPr>
          <w:p>
            <w:pPr>
              <w:jc w:val="center"/>
            </w:pPr>
            <w:r/>
            <w:r>
              <w:rPr>
                <w:rFonts w:ascii="맑은 고딕" w:hAnsi="맑은 고딕" w:eastAsia="맑은 고딕"/>
                <w:b/>
                <w:color w:val="FFFFFF"/>
                <w:sz w:val="20"/>
              </w:rPr>
              <w:t>해자 유형</w:t>
            </w:r>
          </w:p>
        </w:tc>
        <w:tc>
          <w:tcPr>
            <w:tcW w:type="dxa" w:w="1984"/>
            <w:shd w:val="clear" w:color="auto" w:fill="1E3270"/>
          </w:tcPr>
          <w:p>
            <w:pPr>
              <w:jc w:val="center"/>
            </w:pPr>
            <w:r/>
            <w:r>
              <w:rPr>
                <w:rFonts w:ascii="맑은 고딕" w:hAnsi="맑은 고딕" w:eastAsia="맑은 고딕"/>
                <w:b/>
                <w:color w:val="FFFFFF"/>
                <w:sz w:val="20"/>
              </w:rPr>
              <w:t>삼성전자</w:t>
            </w:r>
          </w:p>
        </w:tc>
        <w:tc>
          <w:tcPr>
            <w:tcW w:type="dxa" w:w="2551"/>
            <w:shd w:val="clear" w:color="auto" w:fill="1E3270"/>
          </w:tcPr>
          <w:p>
            <w:pPr>
              <w:jc w:val="center"/>
            </w:pPr>
            <w:r/>
            <w:r>
              <w:rPr>
                <w:rFonts w:ascii="맑은 고딕" w:hAnsi="맑은 고딕" w:eastAsia="맑은 고딕"/>
                <w:b/>
                <w:color w:val="FFFFFF"/>
                <w:sz w:val="20"/>
              </w:rPr>
              <w:t>SK하이닉스</w:t>
            </w:r>
          </w:p>
        </w:tc>
        <w:tc>
          <w:tcPr>
            <w:tcW w:type="dxa" w:w="2835"/>
            <w:shd w:val="clear" w:color="auto" w:fill="1E3270"/>
          </w:tcPr>
          <w:p>
            <w:pPr>
              <w:jc w:val="center"/>
            </w:pPr>
            <w:r/>
            <w:r>
              <w:rPr>
                <w:rFonts w:ascii="맑은 고딕" w:hAnsi="맑은 고딕" w:eastAsia="맑은 고딕"/>
                <w:b/>
                <w:color w:val="FFFFFF"/>
                <w:sz w:val="20"/>
              </w:rPr>
              <w:t>변화 방향</w:t>
            </w:r>
          </w:p>
        </w:tc>
      </w:tr>
      <w:tr>
        <w:tc>
          <w:tcPr>
            <w:tcW w:type="dxa" w:w="2268"/>
          </w:tcPr>
          <w:p>
            <w:pPr>
              <w:spacing w:line="300" w:lineRule="auto"/>
            </w:pPr>
            <w:r/>
            <w:r>
              <w:rPr>
                <w:rFonts w:ascii="맑은 고딕" w:hAnsi="맑은 고딕" w:eastAsia="맑은 고딕"/>
                <w:sz w:val="19"/>
              </w:rPr>
              <w:t>산업 진입장벽 (자본·기술)</w:t>
            </w:r>
          </w:p>
        </w:tc>
        <w:tc>
          <w:tcPr>
            <w:tcW w:type="dxa" w:w="1984"/>
          </w:tcPr>
          <w:p>
            <w:pPr>
              <w:spacing w:line="300" w:lineRule="auto"/>
            </w:pPr>
            <w:r/>
            <w:r>
              <w:rPr>
                <w:rFonts w:ascii="맑은 고딕" w:hAnsi="맑은 고딕" w:eastAsia="맑은 고딕"/>
                <w:sz w:val="19"/>
              </w:rPr>
              <w:t>강</w:t>
            </w:r>
          </w:p>
        </w:tc>
        <w:tc>
          <w:tcPr>
            <w:tcW w:type="dxa" w:w="2551"/>
          </w:tcPr>
          <w:p>
            <w:pPr>
              <w:spacing w:line="300" w:lineRule="auto"/>
            </w:pPr>
            <w:r/>
            <w:r>
              <w:rPr>
                <w:rFonts w:ascii="맑은 고딕" w:hAnsi="맑은 고딕" w:eastAsia="맑은 고딕"/>
                <w:sz w:val="19"/>
              </w:rPr>
              <w:t>강</w:t>
            </w:r>
          </w:p>
        </w:tc>
        <w:tc>
          <w:tcPr>
            <w:tcW w:type="dxa" w:w="2835"/>
          </w:tcPr>
          <w:p>
            <w:pPr>
              <w:spacing w:line="300" w:lineRule="auto"/>
            </w:pPr>
            <w:r/>
            <w:r>
              <w:rPr>
                <w:rFonts w:ascii="맑은 고딕" w:hAnsi="맑은 고딕" w:eastAsia="맑은 고딕"/>
                <w:sz w:val="19"/>
              </w:rPr>
              <w:t>유지 (BIS 통제로 5~7년 연장)</w:t>
            </w:r>
          </w:p>
        </w:tc>
      </w:tr>
      <w:tr>
        <w:tc>
          <w:tcPr>
            <w:tcW w:type="dxa" w:w="2268"/>
          </w:tcPr>
          <w:p>
            <w:pPr>
              <w:spacing w:line="300" w:lineRule="auto"/>
            </w:pPr>
            <w:r/>
            <w:r>
              <w:rPr>
                <w:rFonts w:ascii="맑은 고딕" w:hAnsi="맑은 고딕" w:eastAsia="맑은 고딕"/>
                <w:sz w:val="19"/>
              </w:rPr>
              <w:t>HBM 기술·패키징</w:t>
            </w:r>
          </w:p>
        </w:tc>
        <w:tc>
          <w:tcPr>
            <w:tcW w:type="dxa" w:w="1984"/>
          </w:tcPr>
          <w:p>
            <w:pPr>
              <w:spacing w:line="300" w:lineRule="auto"/>
            </w:pPr>
            <w:r/>
            <w:r>
              <w:rPr>
                <w:rFonts w:ascii="맑은 고딕" w:hAnsi="맑은 고딕" w:eastAsia="맑은 고딕"/>
                <w:sz w:val="19"/>
              </w:rPr>
              <w:t>중 (HBM4 회복 중)</w:t>
            </w:r>
          </w:p>
        </w:tc>
        <w:tc>
          <w:tcPr>
            <w:tcW w:type="dxa" w:w="2551"/>
          </w:tcPr>
          <w:p>
            <w:pPr>
              <w:spacing w:line="300" w:lineRule="auto"/>
            </w:pPr>
            <w:r/>
            <w:r>
              <w:rPr>
                <w:rFonts w:ascii="맑은 고딕" w:hAnsi="맑은 고딕" w:eastAsia="맑은 고딕"/>
                <w:sz w:val="19"/>
              </w:rPr>
              <w:t>강 (HBM4 NVIDIA 60~70%)</w:t>
            </w:r>
          </w:p>
        </w:tc>
        <w:tc>
          <w:tcPr>
            <w:tcW w:type="dxa" w:w="2835"/>
          </w:tcPr>
          <w:p>
            <w:pPr>
              <w:spacing w:line="300" w:lineRule="auto"/>
            </w:pPr>
            <w:r/>
            <w:r>
              <w:rPr>
                <w:rFonts w:ascii="맑은 고딕" w:hAnsi="맑은 고딕" w:eastAsia="맑은 고딕"/>
                <w:sz w:val="19"/>
              </w:rPr>
              <w:t>SK는 HBM3E에서 일부 잠식, HBM4에서 재선점</w:t>
            </w:r>
          </w:p>
        </w:tc>
      </w:tr>
      <w:tr>
        <w:tc>
          <w:tcPr>
            <w:tcW w:type="dxa" w:w="2268"/>
          </w:tcPr>
          <w:p>
            <w:pPr>
              <w:spacing w:line="300" w:lineRule="auto"/>
            </w:pPr>
            <w:r/>
            <w:r>
              <w:rPr>
                <w:rFonts w:ascii="맑은 고딕" w:hAnsi="맑은 고딕" w:eastAsia="맑은 고딕"/>
                <w:sz w:val="19"/>
              </w:rPr>
              <w:t>공정 우위 (DRAM 노드)</w:t>
            </w:r>
          </w:p>
        </w:tc>
        <w:tc>
          <w:tcPr>
            <w:tcW w:type="dxa" w:w="1984"/>
          </w:tcPr>
          <w:p>
            <w:pPr>
              <w:spacing w:line="300" w:lineRule="auto"/>
            </w:pPr>
            <w:r/>
            <w:r>
              <w:rPr>
                <w:rFonts w:ascii="맑은 고딕" w:hAnsi="맑은 고딕" w:eastAsia="맑은 고딕"/>
                <w:sz w:val="19"/>
              </w:rPr>
              <w:t>약 (마이크론 동등)</w:t>
            </w:r>
          </w:p>
        </w:tc>
        <w:tc>
          <w:tcPr>
            <w:tcW w:type="dxa" w:w="2551"/>
          </w:tcPr>
          <w:p>
            <w:pPr>
              <w:spacing w:line="300" w:lineRule="auto"/>
            </w:pPr>
            <w:r/>
            <w:r>
              <w:rPr>
                <w:rFonts w:ascii="맑은 고딕" w:hAnsi="맑은 고딕" w:eastAsia="맑은 고딕"/>
                <w:sz w:val="19"/>
              </w:rPr>
              <w:t>약~중</w:t>
            </w:r>
          </w:p>
        </w:tc>
        <w:tc>
          <w:tcPr>
            <w:tcW w:type="dxa" w:w="2835"/>
          </w:tcPr>
          <w:p>
            <w:pPr>
              <w:spacing w:line="300" w:lineRule="auto"/>
            </w:pPr>
            <w:r/>
            <w:r>
              <w:rPr>
                <w:rFonts w:ascii="맑은 고딕" w:hAnsi="맑은 고딕" w:eastAsia="맑은 고딕"/>
                <w:sz w:val="19"/>
              </w:rPr>
              <w:t>축소 — 한국 영구 공정 우위 가정 깨짐</w:t>
            </w:r>
          </w:p>
        </w:tc>
      </w:tr>
      <w:tr>
        <w:tc>
          <w:tcPr>
            <w:tcW w:type="dxa" w:w="2268"/>
          </w:tcPr>
          <w:p>
            <w:pPr>
              <w:spacing w:line="300" w:lineRule="auto"/>
            </w:pPr>
            <w:r/>
            <w:r>
              <w:rPr>
                <w:rFonts w:ascii="맑은 고딕" w:hAnsi="맑은 고딕" w:eastAsia="맑은 고딕"/>
                <w:sz w:val="19"/>
              </w:rPr>
              <w:t>고객 lock-in</w:t>
            </w:r>
          </w:p>
        </w:tc>
        <w:tc>
          <w:tcPr>
            <w:tcW w:type="dxa" w:w="1984"/>
          </w:tcPr>
          <w:p>
            <w:pPr>
              <w:spacing w:line="300" w:lineRule="auto"/>
            </w:pPr>
            <w:r/>
            <w:r>
              <w:rPr>
                <w:rFonts w:ascii="맑은 고딕" w:hAnsi="맑은 고딕" w:eastAsia="맑은 고딕"/>
                <w:sz w:val="19"/>
              </w:rPr>
              <w:t>약~중</w:t>
            </w:r>
          </w:p>
        </w:tc>
        <w:tc>
          <w:tcPr>
            <w:tcW w:type="dxa" w:w="2551"/>
          </w:tcPr>
          <w:p>
            <w:pPr>
              <w:spacing w:line="300" w:lineRule="auto"/>
            </w:pPr>
            <w:r/>
            <w:r>
              <w:rPr>
                <w:rFonts w:ascii="맑은 고딕" w:hAnsi="맑은 고딕" w:eastAsia="맑은 고딕"/>
                <w:sz w:val="19"/>
              </w:rPr>
              <w:t>중 (NVIDIA 풀부킹)</w:t>
            </w:r>
          </w:p>
        </w:tc>
        <w:tc>
          <w:tcPr>
            <w:tcW w:type="dxa" w:w="2835"/>
          </w:tcPr>
          <w:p>
            <w:pPr>
              <w:spacing w:line="300" w:lineRule="auto"/>
            </w:pPr>
            <w:r/>
            <w:r>
              <w:rPr>
                <w:rFonts w:ascii="맑은 고딕" w:hAnsi="맑은 고딕" w:eastAsia="맑은 고딕"/>
                <w:sz w:val="19"/>
              </w:rPr>
              <w:t>SK 유지</w:t>
            </w:r>
          </w:p>
        </w:tc>
      </w:tr>
      <w:tr>
        <w:tc>
          <w:tcPr>
            <w:tcW w:type="dxa" w:w="2268"/>
          </w:tcPr>
          <w:p>
            <w:pPr>
              <w:spacing w:line="300" w:lineRule="auto"/>
            </w:pPr>
            <w:r/>
            <w:r>
              <w:rPr>
                <w:rFonts w:ascii="맑은 고딕" w:hAnsi="맑은 고딕" w:eastAsia="맑은 고딕"/>
                <w:sz w:val="19"/>
              </w:rPr>
              <w:t>정부·규제 보호 (BIS)</w:t>
            </w:r>
          </w:p>
        </w:tc>
        <w:tc>
          <w:tcPr>
            <w:tcW w:type="dxa" w:w="1984"/>
          </w:tcPr>
          <w:p>
            <w:pPr>
              <w:spacing w:line="300" w:lineRule="auto"/>
            </w:pPr>
            <w:r/>
            <w:r>
              <w:rPr>
                <w:rFonts w:ascii="맑은 고딕" w:hAnsi="맑은 고딕" w:eastAsia="맑은 고딕"/>
                <w:sz w:val="19"/>
              </w:rPr>
              <w:t>중</w:t>
            </w:r>
          </w:p>
        </w:tc>
        <w:tc>
          <w:tcPr>
            <w:tcW w:type="dxa" w:w="2551"/>
          </w:tcPr>
          <w:p>
            <w:pPr>
              <w:spacing w:line="300" w:lineRule="auto"/>
            </w:pPr>
            <w:r/>
            <w:r>
              <w:rPr>
                <w:rFonts w:ascii="맑은 고딕" w:hAnsi="맑은 고딕" w:eastAsia="맑은 고딕"/>
                <w:sz w:val="19"/>
              </w:rPr>
              <w:t>중</w:t>
            </w:r>
          </w:p>
        </w:tc>
        <w:tc>
          <w:tcPr>
            <w:tcW w:type="dxa" w:w="2835"/>
          </w:tcPr>
          <w:p>
            <w:pPr>
              <w:spacing w:line="300" w:lineRule="auto"/>
            </w:pPr>
            <w:r/>
            <w:r>
              <w:rPr>
                <w:rFonts w:ascii="맑은 고딕" w:hAnsi="맑은 고딕" w:eastAsia="맑은 고딕"/>
                <w:sz w:val="19"/>
              </w:rPr>
              <w:t>유지</w:t>
            </w:r>
          </w:p>
        </w:tc>
      </w:tr>
      <w:tr>
        <w:tc>
          <w:tcPr>
            <w:tcW w:type="dxa" w:w="2268"/>
          </w:tcPr>
          <w:p>
            <w:pPr>
              <w:spacing w:line="300" w:lineRule="auto"/>
            </w:pPr>
            <w:r/>
            <w:r>
              <w:rPr>
                <w:rFonts w:ascii="맑은 고딕" w:hAnsi="맑은 고딕" w:eastAsia="맑은 고딕"/>
                <w:sz w:val="19"/>
              </w:rPr>
              <w:t>네트워크 효과</w:t>
            </w:r>
          </w:p>
        </w:tc>
        <w:tc>
          <w:tcPr>
            <w:tcW w:type="dxa" w:w="1984"/>
          </w:tcPr>
          <w:p>
            <w:pPr>
              <w:spacing w:line="300" w:lineRule="auto"/>
            </w:pPr>
            <w:r/>
            <w:r>
              <w:rPr>
                <w:rFonts w:ascii="맑은 고딕" w:hAnsi="맑은 고딕" w:eastAsia="맑은 고딕"/>
                <w:sz w:val="19"/>
              </w:rPr>
              <w:t>없음</w:t>
            </w:r>
          </w:p>
        </w:tc>
        <w:tc>
          <w:tcPr>
            <w:tcW w:type="dxa" w:w="2551"/>
          </w:tcPr>
          <w:p>
            <w:pPr>
              <w:spacing w:line="300" w:lineRule="auto"/>
            </w:pPr>
            <w:r/>
            <w:r>
              <w:rPr>
                <w:rFonts w:ascii="맑은 고딕" w:hAnsi="맑은 고딕" w:eastAsia="맑은 고딕"/>
                <w:sz w:val="19"/>
              </w:rPr>
              <w:t>없음</w:t>
            </w:r>
          </w:p>
        </w:tc>
        <w:tc>
          <w:tcPr>
            <w:tcW w:type="dxa" w:w="2835"/>
          </w:tcPr>
          <w:p>
            <w:pPr>
              <w:spacing w:line="300" w:lineRule="auto"/>
            </w:pPr>
            <w:r/>
            <w:r>
              <w:rPr>
                <w:rFonts w:ascii="맑은 고딕" w:hAnsi="맑은 고딕" w:eastAsia="맑은 고딕"/>
                <w:sz w:val="19"/>
              </w:rPr>
              <w:t>—</w:t>
            </w:r>
          </w:p>
        </w:tc>
      </w:tr>
      <w:tr>
        <w:tc>
          <w:tcPr>
            <w:tcW w:type="dxa" w:w="2268"/>
          </w:tcPr>
          <w:p>
            <w:pPr>
              <w:spacing w:line="300" w:lineRule="auto"/>
            </w:pPr>
            <w:r/>
            <w:r>
              <w:rPr>
                <w:rFonts w:ascii="맑은 고딕" w:hAnsi="맑은 고딕" w:eastAsia="맑은 고딕"/>
                <w:sz w:val="19"/>
              </w:rPr>
              <w:t>효율적 규모</w:t>
            </w:r>
          </w:p>
        </w:tc>
        <w:tc>
          <w:tcPr>
            <w:tcW w:type="dxa" w:w="1984"/>
          </w:tcPr>
          <w:p>
            <w:pPr>
              <w:spacing w:line="300" w:lineRule="auto"/>
            </w:pPr>
            <w:r/>
            <w:r>
              <w:rPr>
                <w:rFonts w:ascii="맑은 고딕" w:hAnsi="맑은 고딕" w:eastAsia="맑은 고딕"/>
                <w:sz w:val="19"/>
              </w:rPr>
              <w:t>강 (산업)</w:t>
            </w:r>
          </w:p>
        </w:tc>
        <w:tc>
          <w:tcPr>
            <w:tcW w:type="dxa" w:w="2551"/>
          </w:tcPr>
          <w:p>
            <w:pPr>
              <w:spacing w:line="300" w:lineRule="auto"/>
            </w:pPr>
            <w:r/>
            <w:r>
              <w:rPr>
                <w:rFonts w:ascii="맑은 고딕" w:hAnsi="맑은 고딕" w:eastAsia="맑은 고딕"/>
                <w:sz w:val="19"/>
              </w:rPr>
              <w:t>강 (산업)</w:t>
            </w:r>
          </w:p>
        </w:tc>
        <w:tc>
          <w:tcPr>
            <w:tcW w:type="dxa" w:w="2835"/>
          </w:tcPr>
          <w:p>
            <w:pPr>
              <w:spacing w:line="300" w:lineRule="auto"/>
            </w:pPr>
            <w:r/>
            <w:r>
              <w:rPr>
                <w:rFonts w:ascii="맑은 고딕" w:hAnsi="맑은 고딕" w:eastAsia="맑은 고딕"/>
                <w:sz w:val="19"/>
              </w:rPr>
              <w:t>유지</w:t>
            </w:r>
          </w:p>
        </w:tc>
      </w:tr>
    </w:tbl>
    <w:p/>
    <w:p>
      <w:pPr>
        <w:spacing w:after="80" w:line="324" w:lineRule="auto"/>
      </w:pPr>
      <w:r>
        <w:rPr>
          <w:rFonts w:ascii="맑은 고딕" w:hAnsi="맑은 고딕" w:eastAsia="맑은 고딕"/>
          <w:b w:val="0"/>
          <w:i w:val="0"/>
          <w:sz w:val="21"/>
        </w:rPr>
        <w:t>산업 자체의 진입장벽은 매우 강합니다. 그러나 개별 기업의 영구적 해자는 SK의 HBM 패키징·고객 lock-in을 제외하면 명확하지 않습니다. 찰리 멍거의 표현을 빌리면 "산업의 해자는 있으나 개별 기업의 해자는 사이클마다 흔들립니다".</w:t>
      </w:r>
    </w:p>
    <w:p>
      <w:r>
        <w:rPr>
          <w:rFonts w:ascii="맑은 고딕" w:hAnsi="맑은 고딕" w:eastAsia="맑은 고딕"/>
          <w:b/>
          <w:color w:val="1E326E"/>
          <w:sz w:val="26"/>
        </w:rPr>
        <w:t>6-3. 능력 범위(Circle of Competence) 자가 점검</w:t>
      </w:r>
    </w:p>
    <w:p>
      <w:pPr>
        <w:spacing w:after="80" w:line="324" w:lineRule="auto"/>
      </w:pPr>
      <w:r>
        <w:rPr>
          <w:rFonts w:ascii="맑은 고딕" w:hAnsi="맑은 고딕" w:eastAsia="맑은 고딕"/>
          <w:b w:val="0"/>
          <w:i w:val="0"/>
          <w:sz w:val="21"/>
        </w:rPr>
        <w:t>워렌 버핏은 1999년 Sun Valley 연설에서 "I don't understand the chip business"라고 명시했고, 평생 자본집약·기술집약·사이클 산업을 회피했습니다. 그런 그가 2022년 4분기에 TSMC ADR을 약 USD 41억어치 매수했다가 2023년 1~2분기에 거의 전량 청산한 사건은 매우 중요합니다. 버핏 본인의 설명은 "회사 자체는 훌륭하나 지정학적 위치(대만 해협)가 자본 배분상 받아들이기 어려웠다"였습니다.</w:t>
      </w:r>
    </w:p>
    <w:p>
      <w:pPr>
        <w:spacing w:after="80" w:line="324" w:lineRule="auto"/>
      </w:pPr>
      <w:r>
        <w:rPr>
          <w:rFonts w:ascii="맑은 고딕" w:hAnsi="맑은 고딕" w:eastAsia="맑은 고딕"/>
          <w:b w:val="0"/>
          <w:i w:val="0"/>
          <w:sz w:val="21"/>
        </w:rPr>
        <w:t>이 사건이 한국 메모리 분석에 주는 의미는 세 가지입니다. 첫째, 반도체는 버핏의 능력 범위 가장자리에 위치합니다. 둘째, 지정학·정책 리스크가 내재가치 할인을 정당화합니다. 한국 메모리 양사도 미·중 갈등의 한복판에 있습니다. 셋째, 기술 변화 속도가 자본 회수 기간보다 빠르면 복리가 깨집니다. 메모리는 18~24개월마다 신노드·신제품이 나오고 한 번 잘못된 capex가 사이클 전체를 망칠 수 있습니다(삼성의 HBM 18개월 지연이 좋은 예).</w:t>
      </w:r>
    </w:p>
    <w:p>
      <w:r>
        <w:rPr>
          <w:rFonts w:ascii="맑은 고딕" w:hAnsi="맑은 고딕" w:eastAsia="맑은 고딕"/>
          <w:b/>
          <w:color w:val="1E326E"/>
          <w:sz w:val="26"/>
        </w:rPr>
        <w:t>6-4. 사업 품질 — 메모리는 본질적으로 버핏형 사업이 아닙니다</w:t>
      </w:r>
    </w:p>
    <w:p>
      <w:pPr>
        <w:spacing w:after="80" w:line="324" w:lineRule="auto"/>
      </w:pPr>
      <w:r>
        <w:rPr>
          <w:rFonts w:ascii="맑은 고딕" w:hAnsi="맑은 고딕" w:eastAsia="맑은 고딕"/>
          <w:b w:val="0"/>
          <w:i w:val="0"/>
          <w:sz w:val="21"/>
        </w:rPr>
        <w:t>버핏이 좋아하는 사업은 재투자 없이도 ROIC 20%+를 10년 유지하는 사업(See's Candies, Coca-Cola, Moody's)입니다. 메모리는 ROIC 20%를 내려면 매년 USD 20B 이상의 재투자가 필요한 사업입니다. "내재가치 = 미래 자유현금흐름의 현재가치" 공식에서 자유현금흐름은 영업현금흐름에서 유지 capex를 뺀 값인데, 메모리는 유지 capex가 워낙 커서 free cash flow가 영업이익의 30~50%에 그칩니다. 이것이 메모리가 본질적으로 버핏형 사업이 아닌 가장 큰 이유입니다.</w:t>
      </w:r>
    </w:p>
    <w:p>
      <w:r>
        <w:rPr>
          <w:rFonts w:ascii="맑은 고딕" w:hAnsi="맑은 고딕" w:eastAsia="맑은 고딕"/>
          <w:b/>
          <w:color w:val="1E326E"/>
          <w:sz w:val="26"/>
        </w:rPr>
        <w:t>6-5. 경영진과 자본배분</w:t>
      </w:r>
    </w:p>
    <w:p>
      <w:pPr>
        <w:spacing w:after="80" w:line="324" w:lineRule="auto"/>
      </w:pPr>
      <w:r>
        <w:rPr>
          <w:rFonts w:ascii="맑은 고딕" w:hAnsi="맑은 고딕" w:eastAsia="맑은 고딕"/>
          <w:b w:val="0"/>
          <w:i w:val="0"/>
          <w:sz w:val="21"/>
        </w:rPr>
        <w:t>삼성전자: 이재용 회장 체제(2022년 회장 취임, 2024년 경영 복귀). 한국 재벌 특유의 순환출자·총수 영향이 있어 버핏이 선호하는 owner-operator 모델과는 다릅니다. 2017~2019 자사주 매입 후 소각은 긍정, 이후 대규모 매입 부재. 2024 자사주 ₩10조 매입 발표는 긍정이나 메모리 capex와의 균형이 미흡합니다. HBM 투자 결정 지연(NVIDIA 12-Hi qual 18개월 지연)은 자본 배분 실수로 평가됩니다. 평가: 보통.</w:t>
      </w:r>
    </w:p>
    <w:p>
      <w:pPr>
        <w:spacing w:after="80" w:line="324" w:lineRule="auto"/>
      </w:pPr>
      <w:r>
        <w:rPr>
          <w:rFonts w:ascii="맑은 고딕" w:hAnsi="맑은 고딕" w:eastAsia="맑은 고딕"/>
          <w:b w:val="0"/>
          <w:i w:val="0"/>
          <w:sz w:val="21"/>
        </w:rPr>
        <w:t>SK하이닉스: 최태원 회장 체제. 2012년 SK그룹 편입 이후 사이클마다 capex 타이밍이 우수했습니다. 특히 HBM 선제 투자(2015~2019)는 명백한 성공입니다. 배당성향은 5~10%로 낮고 재투자 중심입니다. 2026-06-24 ADR 상장 결의는 자본 배분상 의미가 크며, 신주 발행은 기존 주주 희석이지만 AI capex 시대에 자기자본 확충은 합리적입니다. 평가: 좋음.</w:t>
      </w:r>
    </w:p>
    <w:p>
      <w:r>
        <w:rPr>
          <w:rFonts w:ascii="맑은 고딕" w:hAnsi="맑은 고딕" w:eastAsia="맑은 고딕"/>
          <w:b/>
          <w:color w:val="1E326E"/>
          <w:sz w:val="26"/>
        </w:rPr>
        <w:t>6-6. 내재가치 추정 (시나리오 3종)</w:t>
      </w:r>
    </w:p>
    <w:p>
      <w:pPr>
        <w:spacing w:after="80" w:line="324" w:lineRule="auto"/>
      </w:pPr>
      <w:r>
        <w:rPr>
          <w:rFonts w:ascii="맑은 고딕" w:hAnsi="맑은 고딕" w:eastAsia="맑은 고딕"/>
          <w:b w:val="0"/>
          <w:i w:val="0"/>
          <w:sz w:val="21"/>
        </w:rPr>
        <w:t>공통 가정: 할인율(WACC) 9.5%(한국 무위험 3.0% + ERP 5.5% + 베타 1.2 보정 + 사이클 산업 프리미엄 1%p), 정상화 기간 향후 3년 평균, 잔존가치 성장률 2.5%, 환율 1,538원/달러.</w:t>
      </w:r>
    </w:p>
    <w:p>
      <w:r>
        <w:rPr>
          <w:rFonts w:ascii="맑은 고딕" w:hAnsi="맑은 고딕" w:eastAsia="맑은 고딕"/>
          <w:b/>
          <w:color w:val="1E326E"/>
          <w:sz w:val="22"/>
        </w:rPr>
        <w:t>삼성전자</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shd w:val="clear" w:color="auto" w:fill="1E3270"/>
          </w:tcPr>
          <w:p>
            <w:pPr>
              <w:jc w:val="center"/>
            </w:pPr>
            <w:r/>
            <w:r>
              <w:rPr>
                <w:rFonts w:ascii="맑은 고딕" w:hAnsi="맑은 고딕" w:eastAsia="맑은 고딕"/>
                <w:b/>
                <w:color w:val="FFFFFF"/>
                <w:sz w:val="20"/>
              </w:rPr>
              <w:t>시나리오</w:t>
            </w:r>
          </w:p>
        </w:tc>
        <w:tc>
          <w:tcPr>
            <w:tcW w:type="dxa" w:w="1134"/>
            <w:shd w:val="clear" w:color="auto" w:fill="1E3270"/>
          </w:tcPr>
          <w:p>
            <w:pPr>
              <w:jc w:val="center"/>
            </w:pPr>
            <w:r/>
            <w:r>
              <w:rPr>
                <w:rFonts w:ascii="맑은 고딕" w:hAnsi="맑은 고딕" w:eastAsia="맑은 고딕"/>
                <w:b/>
                <w:color w:val="FFFFFF"/>
                <w:sz w:val="20"/>
              </w:rPr>
              <w:t>정상화 OPM</w:t>
            </w:r>
          </w:p>
        </w:tc>
        <w:tc>
          <w:tcPr>
            <w:tcW w:type="dxa" w:w="1134"/>
            <w:shd w:val="clear" w:color="auto" w:fill="1E3270"/>
          </w:tcPr>
          <w:p>
            <w:pPr>
              <w:jc w:val="center"/>
            </w:pPr>
            <w:r/>
            <w:r>
              <w:rPr>
                <w:rFonts w:ascii="맑은 고딕" w:hAnsi="맑은 고딕" w:eastAsia="맑은 고딕"/>
                <w:b/>
                <w:color w:val="FFFFFF"/>
                <w:sz w:val="20"/>
              </w:rPr>
              <w:t>정상화 ROE</w:t>
            </w:r>
          </w:p>
        </w:tc>
        <w:tc>
          <w:tcPr>
            <w:tcW w:type="dxa" w:w="1417"/>
            <w:shd w:val="clear" w:color="auto" w:fill="1E3270"/>
          </w:tcPr>
          <w:p>
            <w:pPr>
              <w:jc w:val="center"/>
            </w:pPr>
            <w:r/>
            <w:r>
              <w:rPr>
                <w:rFonts w:ascii="맑은 고딕" w:hAnsi="맑은 고딕" w:eastAsia="맑은 고딕"/>
                <w:b/>
                <w:color w:val="FFFFFF"/>
                <w:sz w:val="20"/>
              </w:rPr>
              <w:t>정상화 EPS (₩)</w:t>
            </w:r>
          </w:p>
        </w:tc>
        <w:tc>
          <w:tcPr>
            <w:tcW w:type="dxa" w:w="1020"/>
            <w:shd w:val="clear" w:color="auto" w:fill="1E3270"/>
          </w:tcPr>
          <w:p>
            <w:pPr>
              <w:jc w:val="center"/>
            </w:pPr>
            <w:r/>
            <w:r>
              <w:rPr>
                <w:rFonts w:ascii="맑은 고딕" w:hAnsi="맑은 고딕" w:eastAsia="맑은 고딕"/>
                <w:b/>
                <w:color w:val="FFFFFF"/>
                <w:sz w:val="20"/>
              </w:rPr>
              <w:t>적정 PER</w:t>
            </w:r>
          </w:p>
        </w:tc>
        <w:tc>
          <w:tcPr>
            <w:tcW w:type="dxa" w:w="1247"/>
            <w:shd w:val="clear" w:color="auto" w:fill="1E3270"/>
          </w:tcPr>
          <w:p>
            <w:pPr>
              <w:jc w:val="center"/>
            </w:pPr>
            <w:r/>
            <w:r>
              <w:rPr>
                <w:rFonts w:ascii="맑은 고딕" w:hAnsi="맑은 고딕" w:eastAsia="맑은 고딕"/>
                <w:b/>
                <w:color w:val="FFFFFF"/>
                <w:sz w:val="20"/>
              </w:rPr>
              <w:t>내재가치</w:t>
            </w:r>
          </w:p>
        </w:tc>
      </w:tr>
      <w:tr>
        <w:tc>
          <w:tcPr>
            <w:tcW w:type="dxa" w:w="3118"/>
          </w:tcPr>
          <w:p>
            <w:pPr>
              <w:spacing w:line="300" w:lineRule="auto"/>
            </w:pPr>
            <w:r/>
            <w:r>
              <w:rPr>
                <w:rFonts w:ascii="맑은 고딕" w:hAnsi="맑은 고딕" w:eastAsia="맑은 고딕"/>
                <w:sz w:val="19"/>
              </w:rPr>
              <w:t>Bear (마이크론 잠식, HBM4 지연, 파운드리 적자)</w:t>
            </w:r>
          </w:p>
        </w:tc>
        <w:tc>
          <w:tcPr>
            <w:tcW w:type="dxa" w:w="1134"/>
          </w:tcPr>
          <w:p>
            <w:pPr>
              <w:spacing w:line="300" w:lineRule="auto"/>
            </w:pPr>
            <w:r/>
            <w:r>
              <w:rPr>
                <w:rFonts w:ascii="맑은 고딕" w:hAnsi="맑은 고딕" w:eastAsia="맑은 고딕"/>
                <w:sz w:val="19"/>
              </w:rPr>
              <w:t>12%</w:t>
            </w:r>
          </w:p>
        </w:tc>
        <w:tc>
          <w:tcPr>
            <w:tcW w:type="dxa" w:w="1134"/>
          </w:tcPr>
          <w:p>
            <w:pPr>
              <w:spacing w:line="300" w:lineRule="auto"/>
            </w:pPr>
            <w:r/>
            <w:r>
              <w:rPr>
                <w:rFonts w:ascii="맑은 고딕" w:hAnsi="맑은 고딕" w:eastAsia="맑은 고딕"/>
                <w:sz w:val="19"/>
              </w:rPr>
              <w:t>8%</w:t>
            </w:r>
          </w:p>
        </w:tc>
        <w:tc>
          <w:tcPr>
            <w:tcW w:type="dxa" w:w="1417"/>
          </w:tcPr>
          <w:p>
            <w:pPr>
              <w:spacing w:line="300" w:lineRule="auto"/>
            </w:pPr>
            <w:r/>
            <w:r>
              <w:rPr>
                <w:rFonts w:ascii="맑은 고딕" w:hAnsi="맑은 고딕" w:eastAsia="맑은 고딕"/>
                <w:sz w:val="19"/>
              </w:rPr>
              <w:t>약 4,500</w:t>
            </w:r>
          </w:p>
        </w:tc>
        <w:tc>
          <w:tcPr>
            <w:tcW w:type="dxa" w:w="1020"/>
          </w:tcPr>
          <w:p>
            <w:pPr>
              <w:spacing w:line="300" w:lineRule="auto"/>
            </w:pPr>
            <w:r/>
            <w:r>
              <w:rPr>
                <w:rFonts w:ascii="맑은 고딕" w:hAnsi="맑은 고딕" w:eastAsia="맑은 고딕"/>
                <w:sz w:val="19"/>
              </w:rPr>
              <w:t>10배</w:t>
            </w:r>
          </w:p>
        </w:tc>
        <w:tc>
          <w:tcPr>
            <w:tcW w:type="dxa" w:w="1247"/>
          </w:tcPr>
          <w:p>
            <w:pPr>
              <w:spacing w:line="300" w:lineRule="auto"/>
            </w:pPr>
            <w:r/>
            <w:r>
              <w:rPr>
                <w:rFonts w:ascii="맑은 고딕" w:hAnsi="맑은 고딕" w:eastAsia="맑은 고딕"/>
                <w:sz w:val="19"/>
              </w:rPr>
              <w:t>₩45,000</w:t>
            </w:r>
          </w:p>
        </w:tc>
      </w:tr>
      <w:tr>
        <w:tc>
          <w:tcPr>
            <w:tcW w:type="dxa" w:w="3118"/>
          </w:tcPr>
          <w:p>
            <w:pPr>
              <w:spacing w:line="300" w:lineRule="auto"/>
            </w:pPr>
            <w:r/>
            <w:r>
              <w:rPr>
                <w:rFonts w:ascii="맑은 고딕" w:hAnsi="맑은 고딕" w:eastAsia="맑은 고딕"/>
                <w:sz w:val="19"/>
              </w:rPr>
              <w:t>Base (HBM 점유 28~35%, 메모리 정상, 파운드리 BEP)</w:t>
            </w:r>
          </w:p>
        </w:tc>
        <w:tc>
          <w:tcPr>
            <w:tcW w:type="dxa" w:w="1134"/>
          </w:tcPr>
          <w:p>
            <w:pPr>
              <w:spacing w:line="300" w:lineRule="auto"/>
            </w:pPr>
            <w:r/>
            <w:r>
              <w:rPr>
                <w:rFonts w:ascii="맑은 고딕" w:hAnsi="맑은 고딕" w:eastAsia="맑은 고딕"/>
                <w:sz w:val="19"/>
              </w:rPr>
              <w:t>18%</w:t>
            </w:r>
          </w:p>
        </w:tc>
        <w:tc>
          <w:tcPr>
            <w:tcW w:type="dxa" w:w="1134"/>
          </w:tcPr>
          <w:p>
            <w:pPr>
              <w:spacing w:line="300" w:lineRule="auto"/>
            </w:pPr>
            <w:r/>
            <w:r>
              <w:rPr>
                <w:rFonts w:ascii="맑은 고딕" w:hAnsi="맑은 고딕" w:eastAsia="맑은 고딕"/>
                <w:sz w:val="19"/>
              </w:rPr>
              <w:t>13%</w:t>
            </w:r>
          </w:p>
        </w:tc>
        <w:tc>
          <w:tcPr>
            <w:tcW w:type="dxa" w:w="1417"/>
          </w:tcPr>
          <w:p>
            <w:pPr>
              <w:spacing w:line="300" w:lineRule="auto"/>
            </w:pPr>
            <w:r/>
            <w:r>
              <w:rPr>
                <w:rFonts w:ascii="맑은 고딕" w:hAnsi="맑은 고딕" w:eastAsia="맑은 고딕"/>
                <w:sz w:val="19"/>
              </w:rPr>
              <w:t>약 7,000</w:t>
            </w:r>
          </w:p>
        </w:tc>
        <w:tc>
          <w:tcPr>
            <w:tcW w:type="dxa" w:w="1020"/>
          </w:tcPr>
          <w:p>
            <w:pPr>
              <w:spacing w:line="300" w:lineRule="auto"/>
            </w:pPr>
            <w:r/>
            <w:r>
              <w:rPr>
                <w:rFonts w:ascii="맑은 고딕" w:hAnsi="맑은 고딕" w:eastAsia="맑은 고딕"/>
                <w:sz w:val="19"/>
              </w:rPr>
              <w:t>12배</w:t>
            </w:r>
          </w:p>
        </w:tc>
        <w:tc>
          <w:tcPr>
            <w:tcW w:type="dxa" w:w="1247"/>
          </w:tcPr>
          <w:p>
            <w:pPr>
              <w:spacing w:line="300" w:lineRule="auto"/>
            </w:pPr>
            <w:r/>
            <w:r>
              <w:rPr>
                <w:rFonts w:ascii="맑은 고딕" w:hAnsi="맑은 고딕" w:eastAsia="맑은 고딕"/>
                <w:sz w:val="19"/>
              </w:rPr>
              <w:t>₩84,000</w:t>
            </w:r>
          </w:p>
        </w:tc>
      </w:tr>
      <w:tr>
        <w:tc>
          <w:tcPr>
            <w:tcW w:type="dxa" w:w="3118"/>
          </w:tcPr>
          <w:p>
            <w:pPr>
              <w:spacing w:line="300" w:lineRule="auto"/>
            </w:pPr>
            <w:r/>
            <w:r>
              <w:rPr>
                <w:rFonts w:ascii="맑은 고딕" w:hAnsi="맑은 고딕" w:eastAsia="맑은 고딕"/>
                <w:sz w:val="19"/>
              </w:rPr>
              <w:t>Bull (HBM4 50% 회복, 파운드리 흑전, AI 슈퍼사이클)</w:t>
            </w:r>
          </w:p>
        </w:tc>
        <w:tc>
          <w:tcPr>
            <w:tcW w:type="dxa" w:w="1134"/>
          </w:tcPr>
          <w:p>
            <w:pPr>
              <w:spacing w:line="300" w:lineRule="auto"/>
            </w:pPr>
            <w:r/>
            <w:r>
              <w:rPr>
                <w:rFonts w:ascii="맑은 고딕" w:hAnsi="맑은 고딕" w:eastAsia="맑은 고딕"/>
                <w:sz w:val="19"/>
              </w:rPr>
              <w:t>24%</w:t>
            </w:r>
          </w:p>
        </w:tc>
        <w:tc>
          <w:tcPr>
            <w:tcW w:type="dxa" w:w="1134"/>
          </w:tcPr>
          <w:p>
            <w:pPr>
              <w:spacing w:line="300" w:lineRule="auto"/>
            </w:pPr>
            <w:r/>
            <w:r>
              <w:rPr>
                <w:rFonts w:ascii="맑은 고딕" w:hAnsi="맑은 고딕" w:eastAsia="맑은 고딕"/>
                <w:sz w:val="19"/>
              </w:rPr>
              <w:t>18%</w:t>
            </w:r>
          </w:p>
        </w:tc>
        <w:tc>
          <w:tcPr>
            <w:tcW w:type="dxa" w:w="1417"/>
          </w:tcPr>
          <w:p>
            <w:pPr>
              <w:spacing w:line="300" w:lineRule="auto"/>
            </w:pPr>
            <w:r/>
            <w:r>
              <w:rPr>
                <w:rFonts w:ascii="맑은 고딕" w:hAnsi="맑은 고딕" w:eastAsia="맑은 고딕"/>
                <w:sz w:val="19"/>
              </w:rPr>
              <w:t>약 10,500</w:t>
            </w:r>
          </w:p>
        </w:tc>
        <w:tc>
          <w:tcPr>
            <w:tcW w:type="dxa" w:w="1020"/>
          </w:tcPr>
          <w:p>
            <w:pPr>
              <w:spacing w:line="300" w:lineRule="auto"/>
            </w:pPr>
            <w:r/>
            <w:r>
              <w:rPr>
                <w:rFonts w:ascii="맑은 고딕" w:hAnsi="맑은 고딕" w:eastAsia="맑은 고딕"/>
                <w:sz w:val="19"/>
              </w:rPr>
              <w:t>15배</w:t>
            </w:r>
          </w:p>
        </w:tc>
        <w:tc>
          <w:tcPr>
            <w:tcW w:type="dxa" w:w="1247"/>
          </w:tcPr>
          <w:p>
            <w:pPr>
              <w:spacing w:line="300" w:lineRule="auto"/>
            </w:pPr>
            <w:r/>
            <w:r>
              <w:rPr>
                <w:rFonts w:ascii="맑은 고딕" w:hAnsi="맑은 고딕" w:eastAsia="맑은 고딕"/>
                <w:sz w:val="19"/>
              </w:rPr>
              <w:t>₩157,500</w:t>
            </w:r>
          </w:p>
        </w:tc>
      </w:tr>
    </w:tbl>
    <w:p/>
    <w:p>
      <w:pPr>
        <w:spacing w:after="80" w:line="324" w:lineRule="auto"/>
      </w:pPr>
      <w:r>
        <w:rPr>
          <w:rFonts w:ascii="맑은 고딕" w:hAnsi="맑은 고딕" w:eastAsia="맑은 고딕"/>
          <w:b/>
          <w:i w:val="0"/>
          <w:sz w:val="21"/>
        </w:rPr>
        <w:t>현재가 ₩325,750은 Bull 시나리오 내재가치의 약 2배 이상에 해당합니다. Trailing PER 54배·PBR 5.6배는 보수적 가치투자 기준으로 정당화하기 매우 어렵습니다.</w:t>
      </w:r>
    </w:p>
    <w:p>
      <w:r>
        <w:rPr>
          <w:rFonts w:ascii="맑은 고딕" w:hAnsi="맑은 고딕" w:eastAsia="맑은 고딕"/>
          <w:b/>
          <w:color w:val="1E326E"/>
          <w:sz w:val="22"/>
        </w:rPr>
        <w:t>SK하이닉스</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shd w:val="clear" w:color="auto" w:fill="1E3270"/>
          </w:tcPr>
          <w:p>
            <w:pPr>
              <w:jc w:val="center"/>
            </w:pPr>
            <w:r/>
            <w:r>
              <w:rPr>
                <w:rFonts w:ascii="맑은 고딕" w:hAnsi="맑은 고딕" w:eastAsia="맑은 고딕"/>
                <w:b/>
                <w:color w:val="FFFFFF"/>
                <w:sz w:val="20"/>
              </w:rPr>
              <w:t>시나리오</w:t>
            </w:r>
          </w:p>
        </w:tc>
        <w:tc>
          <w:tcPr>
            <w:tcW w:type="dxa" w:w="1134"/>
            <w:shd w:val="clear" w:color="auto" w:fill="1E3270"/>
          </w:tcPr>
          <w:p>
            <w:pPr>
              <w:jc w:val="center"/>
            </w:pPr>
            <w:r/>
            <w:r>
              <w:rPr>
                <w:rFonts w:ascii="맑은 고딕" w:hAnsi="맑은 고딕" w:eastAsia="맑은 고딕"/>
                <w:b/>
                <w:color w:val="FFFFFF"/>
                <w:sz w:val="20"/>
              </w:rPr>
              <w:t>정상화 OPM</w:t>
            </w:r>
          </w:p>
        </w:tc>
        <w:tc>
          <w:tcPr>
            <w:tcW w:type="dxa" w:w="1134"/>
            <w:shd w:val="clear" w:color="auto" w:fill="1E3270"/>
          </w:tcPr>
          <w:p>
            <w:pPr>
              <w:jc w:val="center"/>
            </w:pPr>
            <w:r/>
            <w:r>
              <w:rPr>
                <w:rFonts w:ascii="맑은 고딕" w:hAnsi="맑은 고딕" w:eastAsia="맑은 고딕"/>
                <w:b/>
                <w:color w:val="FFFFFF"/>
                <w:sz w:val="20"/>
              </w:rPr>
              <w:t>정상화 ROE</w:t>
            </w:r>
          </w:p>
        </w:tc>
        <w:tc>
          <w:tcPr>
            <w:tcW w:type="dxa" w:w="1417"/>
            <w:shd w:val="clear" w:color="auto" w:fill="1E3270"/>
          </w:tcPr>
          <w:p>
            <w:pPr>
              <w:jc w:val="center"/>
            </w:pPr>
            <w:r/>
            <w:r>
              <w:rPr>
                <w:rFonts w:ascii="맑은 고딕" w:hAnsi="맑은 고딕" w:eastAsia="맑은 고딕"/>
                <w:b/>
                <w:color w:val="FFFFFF"/>
                <w:sz w:val="20"/>
              </w:rPr>
              <w:t>정상화 EPS (₩)</w:t>
            </w:r>
          </w:p>
        </w:tc>
        <w:tc>
          <w:tcPr>
            <w:tcW w:type="dxa" w:w="1020"/>
            <w:shd w:val="clear" w:color="auto" w:fill="1E3270"/>
          </w:tcPr>
          <w:p>
            <w:pPr>
              <w:jc w:val="center"/>
            </w:pPr>
            <w:r/>
            <w:r>
              <w:rPr>
                <w:rFonts w:ascii="맑은 고딕" w:hAnsi="맑은 고딕" w:eastAsia="맑은 고딕"/>
                <w:b/>
                <w:color w:val="FFFFFF"/>
                <w:sz w:val="20"/>
              </w:rPr>
              <w:t>적정 PER</w:t>
            </w:r>
          </w:p>
        </w:tc>
        <w:tc>
          <w:tcPr>
            <w:tcW w:type="dxa" w:w="1247"/>
            <w:shd w:val="clear" w:color="auto" w:fill="1E3270"/>
          </w:tcPr>
          <w:p>
            <w:pPr>
              <w:jc w:val="center"/>
            </w:pPr>
            <w:r/>
            <w:r>
              <w:rPr>
                <w:rFonts w:ascii="맑은 고딕" w:hAnsi="맑은 고딕" w:eastAsia="맑은 고딕"/>
                <w:b/>
                <w:color w:val="FFFFFF"/>
                <w:sz w:val="20"/>
              </w:rPr>
              <w:t>내재가치</w:t>
            </w:r>
          </w:p>
        </w:tc>
      </w:tr>
      <w:tr>
        <w:tc>
          <w:tcPr>
            <w:tcW w:type="dxa" w:w="3118"/>
          </w:tcPr>
          <w:p>
            <w:pPr>
              <w:spacing w:line="300" w:lineRule="auto"/>
            </w:pPr>
            <w:r/>
            <w:r>
              <w:rPr>
                <w:rFonts w:ascii="맑은 고딕" w:hAnsi="맑은 고딕" w:eastAsia="맑은 고딕"/>
                <w:sz w:val="19"/>
              </w:rPr>
              <w:t>Bear (HBM 40% 하락, 마이크론 잠식, CXMT HBM3, 다운턴)</w:t>
            </w:r>
          </w:p>
        </w:tc>
        <w:tc>
          <w:tcPr>
            <w:tcW w:type="dxa" w:w="1134"/>
          </w:tcPr>
          <w:p>
            <w:pPr>
              <w:spacing w:line="300" w:lineRule="auto"/>
            </w:pPr>
            <w:r/>
            <w:r>
              <w:rPr>
                <w:rFonts w:ascii="맑은 고딕" w:hAnsi="맑은 고딕" w:eastAsia="맑은 고딕"/>
                <w:sz w:val="19"/>
              </w:rPr>
              <w:t>25%</w:t>
            </w:r>
          </w:p>
        </w:tc>
        <w:tc>
          <w:tcPr>
            <w:tcW w:type="dxa" w:w="1134"/>
          </w:tcPr>
          <w:p>
            <w:pPr>
              <w:spacing w:line="300" w:lineRule="auto"/>
            </w:pPr>
            <w:r/>
            <w:r>
              <w:rPr>
                <w:rFonts w:ascii="맑은 고딕" w:hAnsi="맑은 고딕" w:eastAsia="맑은 고딕"/>
                <w:sz w:val="19"/>
              </w:rPr>
              <w:t>18%</w:t>
            </w:r>
          </w:p>
        </w:tc>
        <w:tc>
          <w:tcPr>
            <w:tcW w:type="dxa" w:w="1417"/>
          </w:tcPr>
          <w:p>
            <w:pPr>
              <w:spacing w:line="300" w:lineRule="auto"/>
            </w:pPr>
            <w:r/>
            <w:r>
              <w:rPr>
                <w:rFonts w:ascii="맑은 고딕" w:hAnsi="맑은 고딕" w:eastAsia="맑은 고딕"/>
                <w:sz w:val="19"/>
              </w:rPr>
              <w:t>약 200,000</w:t>
            </w:r>
          </w:p>
        </w:tc>
        <w:tc>
          <w:tcPr>
            <w:tcW w:type="dxa" w:w="1020"/>
          </w:tcPr>
          <w:p>
            <w:pPr>
              <w:spacing w:line="300" w:lineRule="auto"/>
            </w:pPr>
            <w:r/>
            <w:r>
              <w:rPr>
                <w:rFonts w:ascii="맑은 고딕" w:hAnsi="맑은 고딕" w:eastAsia="맑은 고딕"/>
                <w:sz w:val="19"/>
              </w:rPr>
              <w:t>7배</w:t>
            </w:r>
          </w:p>
        </w:tc>
        <w:tc>
          <w:tcPr>
            <w:tcW w:type="dxa" w:w="1247"/>
          </w:tcPr>
          <w:p>
            <w:pPr>
              <w:spacing w:line="300" w:lineRule="auto"/>
            </w:pPr>
            <w:r/>
            <w:r>
              <w:rPr>
                <w:rFonts w:ascii="맑은 고딕" w:hAnsi="맑은 고딕" w:eastAsia="맑은 고딕"/>
                <w:sz w:val="19"/>
              </w:rPr>
              <w:t>₩1,400,000</w:t>
            </w:r>
          </w:p>
        </w:tc>
      </w:tr>
      <w:tr>
        <w:tc>
          <w:tcPr>
            <w:tcW w:type="dxa" w:w="3118"/>
          </w:tcPr>
          <w:p>
            <w:pPr>
              <w:spacing w:line="300" w:lineRule="auto"/>
            </w:pPr>
            <w:r/>
            <w:r>
              <w:rPr>
                <w:rFonts w:ascii="맑은 고딕" w:hAnsi="맑은 고딕" w:eastAsia="맑은 고딕"/>
                <w:sz w:val="19"/>
              </w:rPr>
              <w:t>Base (HBM 50% 유지, AI capex $725B, 2026~2027 풀부킹)</w:t>
            </w:r>
          </w:p>
        </w:tc>
        <w:tc>
          <w:tcPr>
            <w:tcW w:type="dxa" w:w="1134"/>
          </w:tcPr>
          <w:p>
            <w:pPr>
              <w:spacing w:line="300" w:lineRule="auto"/>
            </w:pPr>
            <w:r/>
            <w:r>
              <w:rPr>
                <w:rFonts w:ascii="맑은 고딕" w:hAnsi="맑은 고딕" w:eastAsia="맑은 고딕"/>
                <w:sz w:val="19"/>
              </w:rPr>
              <w:t>40%</w:t>
            </w:r>
          </w:p>
        </w:tc>
        <w:tc>
          <w:tcPr>
            <w:tcW w:type="dxa" w:w="1134"/>
          </w:tcPr>
          <w:p>
            <w:pPr>
              <w:spacing w:line="300" w:lineRule="auto"/>
            </w:pPr>
            <w:r/>
            <w:r>
              <w:rPr>
                <w:rFonts w:ascii="맑은 고딕" w:hAnsi="맑은 고딕" w:eastAsia="맑은 고딕"/>
                <w:sz w:val="19"/>
              </w:rPr>
              <w:t>30%</w:t>
            </w:r>
          </w:p>
        </w:tc>
        <w:tc>
          <w:tcPr>
            <w:tcW w:type="dxa" w:w="1417"/>
          </w:tcPr>
          <w:p>
            <w:pPr>
              <w:spacing w:line="300" w:lineRule="auto"/>
            </w:pPr>
            <w:r/>
            <w:r>
              <w:rPr>
                <w:rFonts w:ascii="맑은 고딕" w:hAnsi="맑은 고딕" w:eastAsia="맑은 고딕"/>
                <w:sz w:val="19"/>
              </w:rPr>
              <w:t>약 350,000</w:t>
            </w:r>
          </w:p>
        </w:tc>
        <w:tc>
          <w:tcPr>
            <w:tcW w:type="dxa" w:w="1020"/>
          </w:tcPr>
          <w:p>
            <w:pPr>
              <w:spacing w:line="300" w:lineRule="auto"/>
            </w:pPr>
            <w:r/>
            <w:r>
              <w:rPr>
                <w:rFonts w:ascii="맑은 고딕" w:hAnsi="맑은 고딕" w:eastAsia="맑은 고딕"/>
                <w:sz w:val="19"/>
              </w:rPr>
              <w:t>9배</w:t>
            </w:r>
          </w:p>
        </w:tc>
        <w:tc>
          <w:tcPr>
            <w:tcW w:type="dxa" w:w="1247"/>
          </w:tcPr>
          <w:p>
            <w:pPr>
              <w:spacing w:line="300" w:lineRule="auto"/>
            </w:pPr>
            <w:r/>
            <w:r>
              <w:rPr>
                <w:rFonts w:ascii="맑은 고딕" w:hAnsi="맑은 고딕" w:eastAsia="맑은 고딕"/>
                <w:sz w:val="19"/>
              </w:rPr>
              <w:t>₩3,150,000</w:t>
            </w:r>
          </w:p>
        </w:tc>
      </w:tr>
      <w:tr>
        <w:tc>
          <w:tcPr>
            <w:tcW w:type="dxa" w:w="3118"/>
          </w:tcPr>
          <w:p>
            <w:pPr>
              <w:spacing w:line="300" w:lineRule="auto"/>
            </w:pPr>
            <w:r/>
            <w:r>
              <w:rPr>
                <w:rFonts w:ascii="맑은 고딕" w:hAnsi="맑은 고딕" w:eastAsia="맑은 고딕"/>
                <w:sz w:val="19"/>
              </w:rPr>
              <w:t>Bull (HBM 55%+, AI 슈퍼사이클 2030 연장, ADR 안착)</w:t>
            </w:r>
          </w:p>
        </w:tc>
        <w:tc>
          <w:tcPr>
            <w:tcW w:type="dxa" w:w="1134"/>
          </w:tcPr>
          <w:p>
            <w:pPr>
              <w:spacing w:line="300" w:lineRule="auto"/>
            </w:pPr>
            <w:r/>
            <w:r>
              <w:rPr>
                <w:rFonts w:ascii="맑은 고딕" w:hAnsi="맑은 고딕" w:eastAsia="맑은 고딕"/>
                <w:sz w:val="19"/>
              </w:rPr>
              <w:t>50%</w:t>
            </w:r>
          </w:p>
        </w:tc>
        <w:tc>
          <w:tcPr>
            <w:tcW w:type="dxa" w:w="1134"/>
          </w:tcPr>
          <w:p>
            <w:pPr>
              <w:spacing w:line="300" w:lineRule="auto"/>
            </w:pPr>
            <w:r/>
            <w:r>
              <w:rPr>
                <w:rFonts w:ascii="맑은 고딕" w:hAnsi="맑은 고딕" w:eastAsia="맑은 고딕"/>
                <w:sz w:val="19"/>
              </w:rPr>
              <w:t>38%</w:t>
            </w:r>
          </w:p>
        </w:tc>
        <w:tc>
          <w:tcPr>
            <w:tcW w:type="dxa" w:w="1417"/>
          </w:tcPr>
          <w:p>
            <w:pPr>
              <w:spacing w:line="300" w:lineRule="auto"/>
            </w:pPr>
            <w:r/>
            <w:r>
              <w:rPr>
                <w:rFonts w:ascii="맑은 고딕" w:hAnsi="맑은 고딕" w:eastAsia="맑은 고딕"/>
                <w:sz w:val="19"/>
              </w:rPr>
              <w:t>약 470,000</w:t>
            </w:r>
          </w:p>
        </w:tc>
        <w:tc>
          <w:tcPr>
            <w:tcW w:type="dxa" w:w="1020"/>
          </w:tcPr>
          <w:p>
            <w:pPr>
              <w:spacing w:line="300" w:lineRule="auto"/>
            </w:pPr>
            <w:r/>
            <w:r>
              <w:rPr>
                <w:rFonts w:ascii="맑은 고딕" w:hAnsi="맑은 고딕" w:eastAsia="맑은 고딕"/>
                <w:sz w:val="19"/>
              </w:rPr>
              <w:t>11배</w:t>
            </w:r>
          </w:p>
        </w:tc>
        <w:tc>
          <w:tcPr>
            <w:tcW w:type="dxa" w:w="1247"/>
          </w:tcPr>
          <w:p>
            <w:pPr>
              <w:spacing w:line="300" w:lineRule="auto"/>
            </w:pPr>
            <w:r/>
            <w:r>
              <w:rPr>
                <w:rFonts w:ascii="맑은 고딕" w:hAnsi="맑은 고딕" w:eastAsia="맑은 고딕"/>
                <w:sz w:val="19"/>
              </w:rPr>
              <w:t>₩5,170,000</w:t>
            </w:r>
          </w:p>
        </w:tc>
      </w:tr>
    </w:tbl>
    <w:p/>
    <w:p>
      <w:pPr>
        <w:spacing w:after="80" w:line="324" w:lineRule="auto"/>
      </w:pPr>
      <w:r>
        <w:rPr>
          <w:rFonts w:ascii="맑은 고딕" w:hAnsi="맑은 고딕" w:eastAsia="맑은 고딕"/>
          <w:b/>
          <w:i w:val="0"/>
          <w:sz w:val="21"/>
        </w:rPr>
        <w:t>현재가 ₩2,673,000은 Base 시나리오 내재가치(₩3,150,000) 대비 약 -15% 디스카운트, Bear 대비 +91% 프리미엄, Bull 대비 -48% 디스카운트에 위치합니다. 안전마진 30% 적용 매수가는 ₩2,205,000으로, 현재가에서 추가 약 17% 하락 시 도달합니다.</w:t>
      </w:r>
    </w:p>
    <w:tbl>
      <w:tblPr>
        <w:tblW w:type="auto" w:w="0"/>
        <w:tblLayout w:type="fixed"/>
        <w:tblLook w:firstColumn="1" w:firstRow="1" w:lastColumn="0" w:lastRow="0" w:noHBand="0" w:noVBand="1" w:val="04A0"/>
      </w:tblPr>
      <w:tblGrid>
        <w:gridCol w:w="9354"/>
      </w:tblGrid>
      <w:tr>
        <w:tc>
          <w:tcPr>
            <w:tcW w:type="dxa" w:w="9354"/>
            <w:shd w:val="clear" w:color="auto" w:fill="FFF8DC"/>
          </w:tcPr>
          <w:p>
            <w:pPr>
              <w:spacing w:after="80"/>
            </w:pPr>
            <w:r>
              <w:rPr>
                <w:rFonts w:ascii="맑은 고딕" w:hAnsi="맑은 고딕" w:eastAsia="맑은 고딕"/>
                <w:b/>
                <w:color w:val="785000"/>
                <w:sz w:val="24"/>
              </w:rPr>
              <w:t>[워렌 버핏형 가치투자자의 최종 코멘트]</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메모리 반도체는 본질적으로 버핏형 사업이 아닙니다.</w:t>
            </w:r>
          </w:p>
          <w:p>
            <w:pPr>
              <w:spacing w:after="60" w:line="312" w:lineRule="auto"/>
            </w:pPr>
            <w:r>
              <w:rPr>
                <w:rFonts w:ascii="맑은 고딕" w:hAnsi="맑은 고딕" w:eastAsia="맑은 고딕"/>
                <w:sz w:val="21"/>
              </w:rPr>
              <w:t xml:space="preserve">   자본집약(연 capex ₩50조+), 사이클성, 영구 재투자 강요, 가격 결정력 제한, 기술 paradigm shift 노출. </w:t>
            </w:r>
          </w:p>
          <w:p>
            <w:pPr>
              <w:spacing w:after="60" w:line="312" w:lineRule="auto"/>
            </w:pPr>
            <w:r>
              <w:rPr>
                <w:rFonts w:ascii="맑은 고딕" w:hAnsi="맑은 고딕" w:eastAsia="맑은 고딕"/>
                <w:sz w:val="21"/>
              </w:rPr>
              <w:t xml:space="preserve">   이런 사업은 "영구 보유" 후보로는 부적합하며, 사이클 베팅 또는 trade로 접근하는 것이 frame 정합성이 높습니다.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삼성전자 ₩325,750 — 거른다(Pass).</w:t>
            </w:r>
          </w:p>
          <w:p>
            <w:pPr>
              <w:spacing w:after="60" w:line="312" w:lineRule="auto"/>
            </w:pPr>
            <w:r>
              <w:rPr>
                <w:rFonts w:ascii="맑은 고딕" w:hAnsi="맑은 고딕" w:eastAsia="맑은 고딕"/>
                <w:sz w:val="21"/>
              </w:rPr>
              <w:t xml:space="preserve">   내재가치 Bull 시나리오의 2배 가격이며, HBM 추격 중이나 SK 대비 1~2년 뒤처져 있습니다. </w:t>
            </w:r>
          </w:p>
          <w:p>
            <w:pPr>
              <w:spacing w:after="60" w:line="312" w:lineRule="auto"/>
            </w:pPr>
            <w:r>
              <w:rPr>
                <w:rFonts w:ascii="맑은 고딕" w:hAnsi="맑은 고딕" w:eastAsia="맑은 고딕"/>
                <w:sz w:val="21"/>
              </w:rPr>
              <w:t xml:space="preserve">   파운드리 적자 부담이 남아있고, 안전마진이 없음을 넘어 가격이 "성공 시나리오 전부 + α"를 이미 반영하고 있습니다. </w:t>
            </w:r>
          </w:p>
          <w:p>
            <w:pPr>
              <w:spacing w:after="60" w:line="312" w:lineRule="auto"/>
            </w:pPr>
            <w:r>
              <w:rPr>
                <w:rFonts w:ascii="맑은 고딕" w:hAnsi="맑은 고딕" w:eastAsia="맑은 고딕"/>
                <w:sz w:val="21"/>
              </w:rPr>
              <w:t xml:space="preserve">   버핏의 1차 원칙 "Don't lose money"를 위배할 가능성이 높습니다.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SK하이닉스 ₩2,673,000 — 기다린다(Wait).</w:t>
            </w:r>
          </w:p>
          <w:p>
            <w:pPr>
              <w:spacing w:after="60" w:line="312" w:lineRule="auto"/>
            </w:pPr>
            <w:r>
              <w:rPr>
                <w:rFonts w:ascii="맑은 고딕" w:hAnsi="맑은 고딕" w:eastAsia="맑은 고딕"/>
                <w:sz w:val="21"/>
              </w:rPr>
              <w:t xml:space="preserve">   사업 품질이 우수합니다(HBM 해자, 자본 배분 트랙 레코드). 그러나 사이클 정점 부근(1Q26 OPM 72%는 역사적 최고)에 있습니다. </w:t>
            </w:r>
          </w:p>
          <w:p>
            <w:pPr>
              <w:spacing w:after="60" w:line="312" w:lineRule="auto"/>
            </w:pPr>
            <w:r>
              <w:rPr>
                <w:rFonts w:ascii="맑은 고딕" w:hAnsi="맑은 고딕" w:eastAsia="맑은 고딕"/>
                <w:sz w:val="21"/>
              </w:rPr>
              <w:t xml:space="preserve">   Base 내재가치 대비 -15%로 적정 수준이나 30% 안전마진 매수가 ₩2.2M까지 약 17% 추가 하락 여지가 있습니다. </w:t>
            </w:r>
          </w:p>
          <w:p>
            <w:pPr>
              <w:spacing w:after="60" w:line="312" w:lineRule="auto"/>
            </w:pPr>
            <w:r>
              <w:rPr>
                <w:rFonts w:ascii="맑은 고딕" w:hAnsi="맑은 고딕" w:eastAsia="맑은 고딕"/>
                <w:sz w:val="21"/>
              </w:rPr>
              <w:t xml:space="preserve">   마이크론 가이던스의 가격 모멘텀 둔화 신호, ADR 후 차익실현 가능성도 함께 고려해야 합니다. </w:t>
            </w:r>
          </w:p>
          <w:p>
            <w:pPr>
              <w:spacing w:after="60" w:line="312" w:lineRule="auto"/>
            </w:pPr>
            <w:r>
              <w:rPr>
                <w:rFonts w:ascii="맑은 고딕" w:hAnsi="맑은 고딕" w:eastAsia="맑은 고딕"/>
                <w:sz w:val="21"/>
              </w:rPr>
              <w:t xml:space="preserve">   버핏이라면 매수하지 않고 ₩2.0~2.2M 구간을 기다린다가 정답에 가깝습니다.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마이크론 빅비트가 시사하는 바.</w:t>
            </w:r>
          </w:p>
          <w:p>
            <w:pPr>
              <w:spacing w:after="60" w:line="312" w:lineRule="auto"/>
            </w:pPr>
            <w:r>
              <w:rPr>
                <w:rFonts w:ascii="맑은 고딕" w:hAnsi="맑은 고딕" w:eastAsia="맑은 고딕"/>
                <w:sz w:val="21"/>
              </w:rPr>
              <w:t xml:space="preserve">   단기 1~2분기 양사 실적 호조를 시사하지만, 사이클 정점 신호로 해석하는 것이 더 보수적이고 정직합니다. </w:t>
            </w:r>
          </w:p>
          <w:p>
            <w:pPr>
              <w:spacing w:after="60" w:line="312" w:lineRule="auto"/>
            </w:pPr>
            <w:r>
              <w:rPr>
                <w:rFonts w:ascii="맑은 고딕" w:hAnsi="맑은 고딕" w:eastAsia="맑은 고딕"/>
                <w:sz w:val="21"/>
              </w:rPr>
              <w:t xml:space="preserve">   가치투자자는 분기 어닝 모멘텀에 베팅하지 않습니다.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ADR 상장의 가치투자 관점.</w:t>
            </w:r>
          </w:p>
          <w:p>
            <w:pPr>
              <w:spacing w:after="60" w:line="312" w:lineRule="auto"/>
            </w:pPr>
            <w:r>
              <w:rPr>
                <w:rFonts w:ascii="맑은 고딕" w:hAnsi="맑은 고딕" w:eastAsia="맑은 고딕"/>
                <w:sz w:val="21"/>
              </w:rPr>
              <w:t xml:space="preserve">   ADR은 본질을 바꾸지 않습니다. 만약 본주 가격이 ADR 프리미엄으로 30~40% 추가 상승한다면, </w:t>
            </w:r>
          </w:p>
          <w:p>
            <w:pPr>
              <w:spacing w:after="60" w:line="312" w:lineRule="auto"/>
            </w:pPr>
            <w:r>
              <w:rPr>
                <w:rFonts w:ascii="맑은 고딕" w:hAnsi="맑은 고딕" w:eastAsia="맑은 고딕"/>
                <w:sz w:val="21"/>
              </w:rPr>
              <w:t xml:space="preserve">   그것은 내재가치와의 괴리가 커진다는 의미이며 매도 신호이지 매수 정당화가 아닙니다. </w:t>
            </w:r>
          </w:p>
          <w:p>
            <w:pPr>
              <w:spacing w:after="60" w:line="312" w:lineRule="auto"/>
            </w:pPr>
            <w:r>
              <w:rPr>
                <w:rFonts w:ascii="맑은 고딕" w:hAnsi="맑은 고딕" w:eastAsia="맑은 고딕"/>
                <w:sz w:val="21"/>
              </w:rPr>
              <w:t xml:space="preserve">   "단순함을 좋아한다"는 버핏 원칙에서 보면 ADR 호재에 따라붙는 것은 게임이지 투자가 아닙니다.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B2B 도메인 특화 AI 시대.</w:t>
            </w:r>
          </w:p>
          <w:p>
            <w:pPr>
              <w:spacing w:after="60" w:line="312" w:lineRule="auto"/>
            </w:pPr>
            <w:r>
              <w:rPr>
                <w:rFonts w:ascii="맑은 고딕" w:hAnsi="맑은 고딕" w:eastAsia="맑은 고딕"/>
                <w:sz w:val="21"/>
              </w:rPr>
              <w:t xml:space="preserve">   향후 3~5년 강한 사이클은 거의 확실하나, 그 기간이 바로 현재 가격이 이미 반영한 구간입니다. </w:t>
            </w:r>
          </w:p>
          <w:p>
            <w:pPr>
              <w:spacing w:after="60" w:line="312" w:lineRule="auto"/>
            </w:pPr>
            <w:r>
              <w:rPr>
                <w:rFonts w:ascii="맑은 고딕" w:hAnsi="맑은 고딕" w:eastAsia="맑은 고딕"/>
                <w:sz w:val="21"/>
              </w:rPr>
              <w:t xml:space="preserve">   가치투자자가 매수해야 하는 시점은 "활주로가 모두에게 보이는 지금"이 아니라 "활주로가 안 보이는 사이클 저점"입니다.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xml:space="preserve">■ 최종 한 줄: 지금은 두 종목 모두 매수 시점이 아닙니다. </w:t>
            </w:r>
          </w:p>
          <w:p>
            <w:pPr>
              <w:spacing w:after="60" w:line="312" w:lineRule="auto"/>
            </w:pPr>
            <w:r>
              <w:rPr>
                <w:rFonts w:ascii="맑은 고딕" w:hAnsi="맑은 고딕" w:eastAsia="맑은 고딕"/>
                <w:sz w:val="21"/>
              </w:rPr>
              <w:t xml:space="preserve">   가치투자자에게 메모리는 "사이클 저점에서만 사고 정점에서 멀리하는" 자산입니다. 지금은 정점 부근입니다.</w:t>
            </w:r>
          </w:p>
          <w:p>
            <w:pPr>
              <w:spacing w:after="60" w:line="312" w:lineRule="auto"/>
            </w:pPr>
            <w:r>
              <w:rPr>
                <w:rFonts w:ascii="맑은 고딕" w:hAnsi="맑은 고딕" w:eastAsia="맑은 고딕"/>
                <w:sz w:val="21"/>
              </w:rPr>
            </w:r>
          </w:p>
          <w:p>
            <w:pPr>
              <w:spacing w:after="60" w:line="312" w:lineRule="auto"/>
            </w:pPr>
            <w:r>
              <w:rPr>
                <w:rFonts w:ascii="맑은 고딕" w:hAnsi="맑은 고딕" w:eastAsia="맑은 고딕"/>
                <w:sz w:val="21"/>
              </w:rPr>
              <w:t xml:space="preserve">(※ 본 가치투자자 코멘트는 "장기 영구 보유" frame을 가정합니다. </w:t>
            </w:r>
          </w:p>
          <w:p>
            <w:pPr>
              <w:spacing w:after="60" w:line="312" w:lineRule="auto"/>
            </w:pPr>
            <w:r>
              <w:rPr>
                <w:rFonts w:ascii="맑은 고딕" w:hAnsi="맑은 고딕" w:eastAsia="맑은 고딕"/>
                <w:sz w:val="21"/>
              </w:rPr>
              <w:t xml:space="preserve">    사용자의 투자 시계가 단기·중기라면 본 보고서 본문의 사이클 베팅 frame이 dominant 합니다.)</w:t>
            </w:r>
          </w:p>
        </w:tc>
      </w:tr>
    </w:tbl>
    <w:p/>
    <w:p>
      <w:r>
        <w:br w:type="page"/>
      </w:r>
    </w:p>
    <w:p>
      <w:r>
        <w:rPr>
          <w:rFonts w:ascii="맑은 고딕" w:hAnsi="맑은 고딕" w:eastAsia="맑은 고딕"/>
          <w:b/>
          <w:color w:val="1E326E"/>
          <w:sz w:val="32"/>
        </w:rPr>
        <w:t>7. 블루팀 vs 레드팀 토론 요약</w:t>
      </w:r>
    </w:p>
    <w:p>
      <w:pPr>
        <w:spacing w:after="80" w:line="324" w:lineRule="auto"/>
      </w:pPr>
      <w:r>
        <w:rPr>
          <w:rFonts w:ascii="맑은 고딕" w:hAnsi="맑은 고딕" w:eastAsia="맑은 고딕"/>
          <w:b w:val="0"/>
          <w:i w:val="0"/>
          <w:sz w:val="21"/>
        </w:rPr>
        <w:t>본 보고서는 동일한 1단계·2단계 데이터를 두 팀에 동시 전달하고, 각 팀이 상대 팀 산출물을 보지 못한 상태에서 개회 진술(Phase A)을 작성한 뒤, 상대 팀의 실제 진술 전문을 받아 점별 반박(Phase B)을 진행하는 2-Phase 토론 구조로 결론을 도출했습니다. 한쪽이 다른 한쪽을 가상으로 묘사·반박하는 셀프 섀도복싱은 금지되어 있습니다.</w:t>
      </w:r>
    </w:p>
    <w:p>
      <w:r>
        <w:rPr>
          <w:rFonts w:ascii="맑은 고딕" w:hAnsi="맑은 고딕" w:eastAsia="맑은 고딕"/>
          <w:b/>
          <w:color w:val="1E326E"/>
          <w:sz w:val="26"/>
        </w:rPr>
        <w:t>7-1. 블루팀(BUY 측) 핵심 5개 논거</w:t>
      </w:r>
    </w:p>
    <w:p>
      <w:pPr>
        <w:pStyle w:val="ListBullet"/>
        <w:spacing w:after="60" w:line="312" w:lineRule="auto"/>
      </w:pPr>
      <w:r>
        <w:rPr>
          <w:rFonts w:ascii="맑은 고딕" w:hAnsi="맑은 고딕" w:eastAsia="맑은 고딕"/>
          <w:b/>
          <w:sz w:val="21"/>
        </w:rPr>
        <w:t xml:space="preserve">① SK 하이닉스 ADR 상장: </w:t>
      </w:r>
      <w:r>
        <w:rPr>
          <w:rFonts w:ascii="맑은 고딕" w:hAnsi="맑은 고딕" w:eastAsia="맑은 고딕"/>
          <w:sz w:val="21"/>
        </w:rPr>
        <w:t xml:space="preserve"> ADR 상장으로 SK 하이닉스 PER이 마이크론(9.76배)·TSMC(22.2배) 수준으로 일부 재평가될 수 있으며, 보수 +41% ~ 기본 +62% 업사이드를 정량 추정.</w:t>
      </w:r>
    </w:p>
    <w:p>
      <w:pPr>
        <w:pStyle w:val="ListBullet"/>
        <w:spacing w:after="60" w:line="312" w:lineRule="auto"/>
      </w:pPr>
      <w:r>
        <w:rPr>
          <w:rFonts w:ascii="맑은 고딕" w:hAnsi="맑은 고딕" w:eastAsia="맑은 고딕"/>
          <w:b/>
          <w:sz w:val="21"/>
        </w:rPr>
        <w:t xml:space="preserve">② 마이크론 6/24 빅비트: </w:t>
      </w:r>
      <w:r>
        <w:rPr>
          <w:rFonts w:ascii="맑은 고딕" w:hAnsi="맑은 고딕" w:eastAsia="맑은 고딕"/>
          <w:sz w:val="21"/>
        </w:rPr>
        <w:t xml:space="preserve"> 매출 USD 41.46B의 빅비트와 HBM 2027 풀부킹은 사이클이 아직 정점이 아님을 입증. 같은 cycle 곡선상 HBM 점유·OPM 우위인 SK·삼성이 더 큰 레버리지.</w:t>
      </w:r>
    </w:p>
    <w:p>
      <w:pPr>
        <w:pStyle w:val="ListBullet"/>
        <w:spacing w:after="60" w:line="312" w:lineRule="auto"/>
      </w:pPr>
      <w:r>
        <w:rPr>
          <w:rFonts w:ascii="맑은 고딕" w:hAnsi="맑은 고딕" w:eastAsia="맑은 고딕"/>
          <w:b/>
          <w:sz w:val="21"/>
        </w:rPr>
        <w:t xml:space="preserve">③ 6/26 패닉은 매수 기회: </w:t>
      </w:r>
      <w:r>
        <w:rPr>
          <w:rFonts w:ascii="맑은 고딕" w:hAnsi="맑은 고딕" w:eastAsia="맑은 고딕"/>
          <w:sz w:val="21"/>
        </w:rPr>
        <w:t xml:space="preserve"> 트리거가 모두 거시·인덱스 이벤트이며 메모리 펀더멘털과 무관. Nomura도 "메커니컬, 펀더멘털 부정 아님"으로 직접 명시.</w:t>
      </w:r>
    </w:p>
    <w:p>
      <w:pPr>
        <w:pStyle w:val="ListBullet"/>
        <w:spacing w:after="60" w:line="312" w:lineRule="auto"/>
      </w:pPr>
      <w:r>
        <w:rPr>
          <w:rFonts w:ascii="맑은 고딕" w:hAnsi="맑은 고딕" w:eastAsia="맑은 고딕"/>
          <w:b/>
          <w:sz w:val="21"/>
        </w:rPr>
        <w:t xml:space="preserve">④ 삼성 sympathy 재평가: </w:t>
      </w:r>
      <w:r>
        <w:rPr>
          <w:rFonts w:ascii="맑은 고딕" w:hAnsi="맑은 고딕" w:eastAsia="맑은 고딕"/>
          <w:sz w:val="21"/>
        </w:rPr>
        <w:t xml:space="preserve"> HBM3E qual 통과(2025-09) + HBM4 25~30% 참여자 지위 회복. 과거(2017, 2020) SK 재평가가 삼성에 4~8주 시차로 전이된 패턴.</w:t>
      </w:r>
    </w:p>
    <w:p>
      <w:pPr>
        <w:pStyle w:val="ListBullet"/>
        <w:spacing w:after="60" w:line="312" w:lineRule="auto"/>
      </w:pPr>
      <w:r>
        <w:rPr>
          <w:rFonts w:ascii="맑은 고딕" w:hAnsi="맑은 고딕" w:eastAsia="맑은 고딕"/>
          <w:b/>
          <w:sz w:val="21"/>
        </w:rPr>
        <w:t xml:space="preserve">⑤ B2B AI 2차 곡선: </w:t>
      </w:r>
      <w:r>
        <w:rPr>
          <w:rFonts w:ascii="맑은 고딕" w:hAnsi="맑은 고딕" w:eastAsia="맑은 고딕"/>
          <w:sz w:val="21"/>
        </w:rPr>
        <w:t xml:space="preserve"> Salesforce Agentforce ARR $800M, ServiceNow $1.5B target, Palantir +85% — 추론 워크로드의 메모리 대역폭 의존도가 학습보다 큼.</w:t>
      </w:r>
    </w:p>
    <w:p>
      <w:r>
        <w:rPr>
          <w:rFonts w:ascii="맑은 고딕" w:hAnsi="맑은 고딕" w:eastAsia="맑은 고딕"/>
          <w:b/>
          <w:color w:val="1E326E"/>
          <w:sz w:val="26"/>
        </w:rPr>
        <w:t>7-2. 레드팀(SELL 측) 핵심 5개 논거</w:t>
      </w:r>
    </w:p>
    <w:p>
      <w:pPr>
        <w:pStyle w:val="ListBullet"/>
        <w:spacing w:after="60" w:line="312" w:lineRule="auto"/>
      </w:pPr>
      <w:r>
        <w:rPr>
          <w:rFonts w:ascii="맑은 고딕" w:hAnsi="맑은 고딕" w:eastAsia="맑은 고딕"/>
          <w:b/>
          <w:sz w:val="21"/>
        </w:rPr>
        <w:t xml:space="preserve">① 사이클 정점 신호 다중 확증: </w:t>
      </w:r>
      <w:r>
        <w:rPr>
          <w:rFonts w:ascii="맑은 고딕" w:hAnsi="맑은 고딕" w:eastAsia="맑은 고딕"/>
          <w:sz w:val="21"/>
        </w:rPr>
        <w:t xml:space="preserve"> 마이크론 "가격 상승률 의미 있는 둔화" 발언 + SK OPM 72% 사상 최고 + 1Q DRAM +81% QoQ base effect + 6/26 -9% 패닉의 다중 확증.</w:t>
      </w:r>
    </w:p>
    <w:p>
      <w:pPr>
        <w:pStyle w:val="ListBullet"/>
        <w:spacing w:after="60" w:line="312" w:lineRule="auto"/>
      </w:pPr>
      <w:r>
        <w:rPr>
          <w:rFonts w:ascii="맑은 고딕" w:hAnsi="맑은 고딕" w:eastAsia="맑은 고딕"/>
          <w:b/>
          <w:sz w:val="21"/>
        </w:rPr>
        <w:t xml:space="preserve">② 삼성 멀티플 정당화 불가: </w:t>
      </w:r>
      <w:r>
        <w:rPr>
          <w:rFonts w:ascii="맑은 고딕" w:hAnsi="맑은 고딕" w:eastAsia="맑은 고딕"/>
          <w:sz w:val="21"/>
        </w:rPr>
        <w:t xml:space="preserve"> PER 54·PBR 5.6은 +2σ 상단. 2017 슈퍼사이클 정점에서 삼성 PER trailing은 9~11배. 어떤 잣대로도 현재 멀티플은 정당화 불가.</w:t>
      </w:r>
    </w:p>
    <w:p>
      <w:pPr>
        <w:pStyle w:val="ListBullet"/>
        <w:spacing w:after="60" w:line="312" w:lineRule="auto"/>
      </w:pPr>
      <w:r>
        <w:rPr>
          <w:rFonts w:ascii="맑은 고딕" w:hAnsi="맑은 고딕" w:eastAsia="맑은 고딕"/>
          <w:b/>
          <w:sz w:val="21"/>
        </w:rPr>
        <w:t xml:space="preserve">③ 한국 영구 공정 우위 깨짐: </w:t>
      </w:r>
      <w:r>
        <w:rPr>
          <w:rFonts w:ascii="맑은 고딕" w:hAnsi="맑은 고딕" w:eastAsia="맑은 고딕"/>
          <w:sz w:val="21"/>
        </w:rPr>
        <w:t xml:space="preserve"> 마이크론 1γ EUV가 한국 양사와 동등/일부 선행. CXMT DDR5-8000 양산 + HBM3 2026 양산 계획. 가격결정력 약화.</w:t>
      </w:r>
    </w:p>
    <w:p>
      <w:pPr>
        <w:pStyle w:val="ListBullet"/>
        <w:spacing w:after="60" w:line="312" w:lineRule="auto"/>
      </w:pPr>
      <w:r>
        <w:rPr>
          <w:rFonts w:ascii="맑은 고딕" w:hAnsi="맑은 고딕" w:eastAsia="맑은 고딕"/>
          <w:b/>
          <w:sz w:val="21"/>
        </w:rPr>
        <w:t xml:space="preserve">④ ADR 신주 희석: </w:t>
      </w:r>
      <w:r>
        <w:rPr>
          <w:rFonts w:ascii="맑은 고딕" w:hAnsi="맑은 고딕" w:eastAsia="맑은 고딕"/>
          <w:sz w:val="21"/>
        </w:rPr>
        <w:t xml:space="preserve"> 신주 17.79M주($29B) 발행은 기존 주주 희석. ADR-본주 negative arbitrage. lock-up 종료 시 추가 매도 출회.</w:t>
      </w:r>
    </w:p>
    <w:p>
      <w:pPr>
        <w:pStyle w:val="ListBullet"/>
        <w:spacing w:after="60" w:line="312" w:lineRule="auto"/>
      </w:pPr>
      <w:r>
        <w:rPr>
          <w:rFonts w:ascii="맑은 고딕" w:hAnsi="맑은 고딕" w:eastAsia="맑은 고딕"/>
          <w:b/>
          <w:sz w:val="21"/>
        </w:rPr>
        <w:t xml:space="preserve">⑤ MSCI 불발 + 환율 + 정치: </w:t>
      </w:r>
      <w:r>
        <w:rPr>
          <w:rFonts w:ascii="맑은 고딕" w:hAnsi="맑은 고딕" w:eastAsia="맑은 고딕"/>
          <w:sz w:val="21"/>
        </w:rPr>
        <w:t xml:space="preserve"> 패시브 자금 유입 기대 좌절. 원/달러 1,538원으로 외인 환차손 가중. "헐값에도 안 사는 자산"이 될 위험.</w:t>
      </w:r>
    </w:p>
    <w:p>
      <w:r>
        <w:rPr>
          <w:rFonts w:ascii="맑은 고딕" w:hAnsi="맑은 고딕" w:eastAsia="맑은 고딕"/>
          <w:b/>
          <w:color w:val="1E326E"/>
          <w:sz w:val="26"/>
        </w:rPr>
        <w:t>7-3. 교차 반박 후 양 팀의 조정</w:t>
      </w:r>
    </w:p>
    <w:p>
      <w:pPr>
        <w:spacing w:after="80" w:line="324" w:lineRule="auto"/>
      </w:pPr>
      <w:r>
        <w:rPr>
          <w:rFonts w:ascii="맑은 고딕" w:hAnsi="맑은 고딕" w:eastAsia="맑은 고딕"/>
          <w:b w:val="0"/>
          <w:i w:val="0"/>
          <w:sz w:val="21"/>
        </w:rPr>
        <w:t>블루팀은 단기(0~6M) BUY 강도를 "HOLD/Selective BUY"로 약화했고, 중기·장기 BUY를 유지·강화했습니다. 특히 ADR 차익거래·외인 매도 단기 압력이 객관적으로 실재함을 정직하게 인정했습니다. 레드팀은 단기 SELL을 HOLD로 약화하면서 ADR 단기 catalyst와 HBM 어닝 모멘텀을 인정했습니다. 다만 중기·장기 SELL 결론은 유지했으며, 특히 삼성 IV 대비 +288% 괴리는 사이클 베팅으로도 정당화 어렵다고 강조했습니다.</w:t>
      </w:r>
    </w:p>
    <w:p>
      <w:pPr>
        <w:spacing w:after="80" w:line="324" w:lineRule="auto"/>
      </w:pPr>
      <w:r>
        <w:rPr>
          <w:rFonts w:ascii="맑은 고딕" w:hAnsi="맑은 고딕" w:eastAsia="맑은 고딕"/>
          <w:b w:val="0"/>
          <w:i w:val="0"/>
          <w:sz w:val="21"/>
        </w:rPr>
        <w:t>리스크 매니저는 블루팀 시나리오의 확률 가중치를 재평가하여, SK 낙관(+68%) 시나리오 확률을 30~35%에서 10~15%로 하향했고, 삼성 낙관(+60%) 시나리오 확률을 25~30%에서 8~12%로 하향했습니다. 또한 5개의 즉시 트림 트리거와 3개의 추가매수 트리거를 명시했습니다.</w:t>
      </w:r>
    </w:p>
    <w:p>
      <w:r>
        <w:br w:type="page"/>
      </w:r>
    </w:p>
    <w:p>
      <w:r>
        <w:rPr>
          <w:rFonts w:ascii="맑은 고딕" w:hAnsi="맑은 고딕" w:eastAsia="맑은 고딕"/>
          <w:b/>
          <w:color w:val="1E326E"/>
          <w:sz w:val="32"/>
        </w:rPr>
        <w:t>8. 사용자 8가지 추가 고려사항 — 객관적 답변</w:t>
      </w:r>
    </w:p>
    <w:p>
      <w:r>
        <w:rPr>
          <w:rFonts w:ascii="맑은 고딕" w:hAnsi="맑은 고딕" w:eastAsia="맑은 고딕"/>
          <w:b/>
          <w:color w:val="1E326E"/>
          <w:sz w:val="26"/>
        </w:rPr>
        <w:t>Q1. SK하이닉스 미국 ADR 상장 시 높은 PER로 재평가될 가능성?</w:t>
      </w:r>
    </w:p>
    <w:p>
      <w:pPr>
        <w:spacing w:after="80" w:line="324" w:lineRule="auto"/>
      </w:pPr>
      <w:r>
        <w:rPr>
          <w:rFonts w:ascii="맑은 고딕" w:hAnsi="맑은 고딕" w:eastAsia="맑은 고딕"/>
          <w:b w:val="0"/>
          <w:i w:val="0"/>
          <w:sz w:val="21"/>
        </w:rPr>
        <w:t>답변: 부분적으로 가능합니다. SK하이닉스는 2026-06-24 이사회에서 나스닥 ADR 발행을 공식 결의했고 7/10 거래 개시가 잠정 확정되어 있어, 이는 가설이 아닌 진행 중인 사실입니다. 다만 TSMC 수준 PER 22.2배 재평가는 비현실적이며, 메모리 사이클 종속성을 반영한 보수 9.76배(현재가 +41%) ~ 기본 11.2배(현재가 +62%) 시나리오가 합리적 범위입니다. 확률 가중 기대값으로는 약 +37%(12개월 기준)입니다. 표본 편향과 첫 1~3개월간 dilution 부담(-3~5%)도 함께 고려해야 합니다.</w:t>
      </w:r>
    </w:p>
    <w:p>
      <w:r>
        <w:rPr>
          <w:rFonts w:ascii="맑은 고딕" w:hAnsi="맑은 고딕" w:eastAsia="맑은 고딕"/>
          <w:b/>
          <w:color w:val="1E326E"/>
          <w:sz w:val="26"/>
        </w:rPr>
        <w:t>Q2. 하이닉스 ADR 재평가가 삼성전자에 미치는 sympathy 효과?</w:t>
      </w:r>
    </w:p>
    <w:p>
      <w:pPr>
        <w:spacing w:after="80" w:line="324" w:lineRule="auto"/>
      </w:pPr>
      <w:r>
        <w:rPr>
          <w:rFonts w:ascii="맑은 고딕" w:hAnsi="맑은 고딕" w:eastAsia="맑은 고딕"/>
          <w:b w:val="0"/>
          <w:i w:val="0"/>
          <w:sz w:val="21"/>
        </w:rPr>
        <w:t>답변: 제한적으로 있습니다. 한국 IT/메모리 섹터 ETF 자금 유입으로 일부 동반 멀티플 확장이 가능하지만, 삼성전자 PBR 5.6배는 이미 역대 최고 수준이라 추가 확장 여지가 SK 대비 훨씬 작습니다. 합리적 sympathy 효과는 +7~16% 정도이며, 이는 SK ADR 재평가 폭(+40~60%)의 1/3 수준입니다. 삼성전자 본인의 HBM3E 12-Hi NVIDIA 메인 라인 배정과 HBM4 25% 이상 배정 확정이 더 결정적인 트리거가 될 것입니다.</w:t>
      </w:r>
    </w:p>
    <w:p>
      <w:r>
        <w:rPr>
          <w:rFonts w:ascii="맑은 고딕" w:hAnsi="맑은 고딕" w:eastAsia="맑은 고딕"/>
          <w:b/>
          <w:color w:val="1E326E"/>
          <w:sz w:val="26"/>
        </w:rPr>
        <w:t>Q3. 마이크론이 "게임체인저"라는 평가가 옳은가? 마이크론 빅비트는 사실상 삼·하이가 더 강할 것임을 의미하지 않는가?</w:t>
      </w:r>
    </w:p>
    <w:p>
      <w:pPr>
        <w:spacing w:after="80" w:line="324" w:lineRule="auto"/>
      </w:pPr>
      <w:r>
        <w:rPr>
          <w:rFonts w:ascii="맑은 고딕" w:hAnsi="맑은 고딕" w:eastAsia="맑은 고딕"/>
          <w:b w:val="0"/>
          <w:i w:val="0"/>
          <w:sz w:val="21"/>
        </w:rPr>
        <w:t>답변: 부분적으로 옳습니다. 사용자 가설은 "공통 사이클 부분"에 대해서는 정량적으로 지지됩니다. 1Q26 DRAM 산업 매출 +81% QoQ에 삼성 +93.4%, SK 62.5%, 마이크론 +81.6%가 모두 동반 상승했으며, HBM 점유율 50% / OPM 72%의 SK가 마이크론(점유 22%) 대비 더 큰 레버리지를 가지는 것은 분명합니다.</w:t>
      </w:r>
    </w:p>
    <w:p>
      <w:pPr>
        <w:spacing w:after="80" w:line="324" w:lineRule="auto"/>
      </w:pPr>
      <w:r>
        <w:rPr>
          <w:rFonts w:ascii="맑은 고딕" w:hAnsi="맑은 고딕" w:eastAsia="맑은 고딕"/>
          <w:b w:val="0"/>
          <w:i w:val="0"/>
          <w:sz w:val="21"/>
        </w:rPr>
        <w:t>다만 두 가지 한계가 있습니다. 첫째, 마이크론 1γ DRAM은 EUV로 한국 양사와 동등 또는 일부 선행입니다. "마이크론이 한 단계 뒤처진다"는 통념은 HBM에서만 부분 사실이며, 컨벤셔널 DRAM에서는 더 이상 성립하지 않습니다. 둘째, 마이크론 매출 상향의 일부는 미국 정부 보조금과 Sovereign AI 우선 sourcing이라는 마이크론 단독 점유율 회복 요인이며, 이 부분은 zero-sum이라 삼·하이로 그대로 전이되지 않습니다. 셋째, 마이크론 Q4 가이던스의 "가격 상승률 의미 있는 둔화" 발언은 사이클 정점 신호로도 해석되어야 합니다.</w:t>
      </w:r>
    </w:p>
    <w:p>
      <w:r>
        <w:rPr>
          <w:rFonts w:ascii="맑은 고딕" w:hAnsi="맑은 고딕" w:eastAsia="맑은 고딕"/>
          <w:b/>
          <w:color w:val="1E326E"/>
          <w:sz w:val="26"/>
        </w:rPr>
        <w:t>Q4. 보고서 작성 시 이전 버전과의 차이점 같은 내용은 적지 말 것</w:t>
      </w:r>
    </w:p>
    <w:p>
      <w:pPr>
        <w:spacing w:after="80" w:line="324" w:lineRule="auto"/>
      </w:pPr>
      <w:r>
        <w:rPr>
          <w:rFonts w:ascii="맑은 고딕" w:hAnsi="맑은 고딕" w:eastAsia="맑은 고딕"/>
          <w:b w:val="0"/>
          <w:i w:val="0"/>
          <w:sz w:val="21"/>
        </w:rPr>
        <w:t>답변: 본 보고서에서 모든 버전 비교·정정 이력 내용은 완전히 배제했습니다.</w:t>
      </w:r>
    </w:p>
    <w:p>
      <w:r>
        <w:rPr>
          <w:rFonts w:ascii="맑은 고딕" w:hAnsi="맑은 고딕" w:eastAsia="맑은 고딕"/>
          <w:b/>
          <w:color w:val="1E326E"/>
          <w:sz w:val="26"/>
        </w:rPr>
        <w:t>Q5. 단기·중기·장기 BUY·HOLD·SELL 결론의 행동 근거를 자세히 설명</w:t>
      </w:r>
    </w:p>
    <w:p>
      <w:pPr>
        <w:spacing w:after="80" w:line="324" w:lineRule="auto"/>
      </w:pPr>
      <w:r>
        <w:rPr>
          <w:rFonts w:ascii="맑은 고딕" w:hAnsi="맑은 고딕" w:eastAsia="맑은 고딕"/>
          <w:b w:val="0"/>
          <w:i w:val="0"/>
          <w:sz w:val="21"/>
        </w:rPr>
        <w:t>답변: 9장에서 시계별 판정과 그 근거를 상세히 다룹니다. 요약하면 다음과 같습니다.</w:t>
      </w:r>
    </w:p>
    <w:p>
      <w:pPr>
        <w:pStyle w:val="ListBullet"/>
        <w:spacing w:after="60" w:line="312" w:lineRule="auto"/>
      </w:pPr>
      <w:r>
        <w:rPr>
          <w:rFonts w:ascii="맑은 고딕" w:hAnsi="맑은 고딕" w:eastAsia="맑은 고딕"/>
          <w:b/>
          <w:sz w:val="21"/>
        </w:rPr>
        <w:t xml:space="preserve">단기: </w:t>
      </w:r>
      <w:r>
        <w:rPr>
          <w:rFonts w:ascii="맑은 고딕" w:hAnsi="맑은 고딕" w:eastAsia="맑은 고딕"/>
          <w:sz w:val="21"/>
        </w:rPr>
        <w:t xml:space="preserve"> 단기 SK BUY(분할)는 ADR 거래 개시(7/10)라는 명확한 단기 촉매 + Forward PER 6.9배의 안전마진 확보 + 6/26 패닉의 역발상 기회 결합 때문입니다. 삼성 단기 HOLD는 멀티플 부담(PER 54)과 HBM3E 12-Hi 메인 라인 배정 미확정의 모호함 때문입니다.</w:t>
      </w:r>
    </w:p>
    <w:p>
      <w:pPr>
        <w:pStyle w:val="ListBullet"/>
        <w:spacing w:after="60" w:line="312" w:lineRule="auto"/>
      </w:pPr>
      <w:r>
        <w:rPr>
          <w:rFonts w:ascii="맑은 고딕" w:hAnsi="맑은 고딕" w:eastAsia="맑은 고딕"/>
          <w:b/>
          <w:sz w:val="21"/>
        </w:rPr>
        <w:t xml:space="preserve">중기: </w:t>
      </w:r>
      <w:r>
        <w:rPr>
          <w:rFonts w:ascii="맑은 고딕" w:hAnsi="맑은 고딕" w:eastAsia="맑은 고딕"/>
          <w:sz w:val="21"/>
        </w:rPr>
        <w:t xml:space="preserve"> SK 중기 BUY는 HBM4 NVIDIA Rubin 60~70% 선점 + 2027 EPS 점프 가시성 + ADR 재평가 12개월 시계 때문입니다. 삼성 중기 HOLD는 HBM4 25~30% 참여자 지위 회복은 긍정이나 SK 대비 후순위이고 파운드리 적자가 메모리 호황을 일부 상쇄하기 때문입니다.</w:t>
      </w:r>
    </w:p>
    <w:p>
      <w:pPr>
        <w:pStyle w:val="ListBullet"/>
        <w:spacing w:after="60" w:line="312" w:lineRule="auto"/>
      </w:pPr>
      <w:r>
        <w:rPr>
          <w:rFonts w:ascii="맑은 고딕" w:hAnsi="맑은 고딕" w:eastAsia="맑은 고딕"/>
          <w:b/>
          <w:sz w:val="21"/>
        </w:rPr>
        <w:t xml:space="preserve">장기: </w:t>
      </w:r>
      <w:r>
        <w:rPr>
          <w:rFonts w:ascii="맑은 고딕" w:hAnsi="맑은 고딕" w:eastAsia="맑은 고딕"/>
          <w:sz w:val="21"/>
        </w:rPr>
        <w:t xml:space="preserve"> 두 종목 모두 HOLD인 이유는, 메모리는 본질적으로 자본집약·사이클성 산업이어서 24M+ 영구 보유에는 적합하지 않기 때문입니다. 마이크론 1γ EUV 동등화 + CXMT 추격의 24M+ 변수가 한국 양사의 영구 공정 우위를 약화시킵니다. SK는 HBM 해자 덕분에 "약한 BUY" 편향이 가능합니다.</w:t>
      </w:r>
    </w:p>
    <w:p>
      <w:r>
        <w:rPr>
          <w:rFonts w:ascii="맑은 고딕" w:hAnsi="맑은 고딕" w:eastAsia="맑은 고딕"/>
          <w:b/>
          <w:color w:val="1E326E"/>
          <w:sz w:val="26"/>
        </w:rPr>
        <w:t>Q6. B2B 도메인 특화 AI ROI 본격화 시나리오 고려</w:t>
      </w:r>
    </w:p>
    <w:p>
      <w:pPr>
        <w:spacing w:after="80" w:line="324" w:lineRule="auto"/>
      </w:pPr>
      <w:r>
        <w:rPr>
          <w:rFonts w:ascii="맑은 고딕" w:hAnsi="맑은 고딕" w:eastAsia="맑은 고딕"/>
          <w:b w:val="0"/>
          <w:i w:val="0"/>
          <w:sz w:val="21"/>
        </w:rPr>
        <w:t>답변: 본 보고서에서 이 시나리오는 메모리 수요의 "2차 성장 곡선"으로 다뤘습니다. Salesforce Agentforce ARR $800M, ServiceNow $1.5B target, Palantir +85% YoY는 이미 1차 출처로 확인되는 가속 신호입니다. 베이스 시나리오에서는 HBM 수요 CAGR 35~45% 유지 + 엔터프라이즈 LPDDR/eSSD 확대로 양사 모두 수혜, 낙관 시나리오에서는 메모리 슈퍼사이클이 2027~2028까지 연장됩니다. 비관 시나리오는 빅테크 capex 증가율이 +20% 이하로 둔화될 경우 발생합니다.</w:t>
      </w:r>
    </w:p>
    <w:p>
      <w:pPr>
        <w:spacing w:after="80" w:line="324" w:lineRule="auto"/>
      </w:pPr>
      <w:r>
        <w:rPr>
          <w:rFonts w:ascii="맑은 고딕" w:hAnsi="맑은 고딕" w:eastAsia="맑은 고딕"/>
          <w:b w:val="0"/>
          <w:i w:val="0"/>
          <w:sz w:val="21"/>
        </w:rPr>
        <w:t>다만 한 가지 주의가 필요합니다. B2B 추론 워크로드의 메모리 믹스는 학습과 달라 LPDDR5X·DDR5·eSSD 비중이 상승할 수 있어 HBM 절대 의존도가 일부 희석될 수 있습니다. 이 경우 삼성전자(라인업 다양성)는 상대적으로 균형적 수혜, SK하이닉스(HBM 중심)는 일부 프리미엄 희석 위험이 있습니다.</w:t>
      </w:r>
    </w:p>
    <w:p>
      <w:r>
        <w:rPr>
          <w:rFonts w:ascii="맑은 고딕" w:hAnsi="맑은 고딕" w:eastAsia="맑은 고딕"/>
          <w:b/>
          <w:color w:val="1E326E"/>
          <w:sz w:val="26"/>
        </w:rPr>
        <w:t>Q7. 현재 시점 예측 불가 부분에 대한 조건부 액션 코멘트</w:t>
      </w:r>
    </w:p>
    <w:p>
      <w:pPr>
        <w:spacing w:after="80" w:line="324" w:lineRule="auto"/>
      </w:pPr>
      <w:r>
        <w:rPr>
          <w:rFonts w:ascii="맑은 고딕" w:hAnsi="맑은 고딕" w:eastAsia="맑은 고딕"/>
          <w:b w:val="0"/>
          <w:i w:val="0"/>
          <w:sz w:val="21"/>
        </w:rPr>
        <w:t>답변: 10장에서 "향후 이런 일이 발생하면 행동을 이렇게 바꾼다" 형식의 조건부 트리거를 단기·중기·장기로 나누어 상세히 다룹니다.</w:t>
      </w:r>
    </w:p>
    <w:p>
      <w:r>
        <w:rPr>
          <w:rFonts w:ascii="맑은 고딕" w:hAnsi="맑은 고딕" w:eastAsia="맑은 고딕"/>
          <w:b/>
          <w:color w:val="1E326E"/>
          <w:sz w:val="26"/>
        </w:rPr>
        <w:t>Q8. 외국인 매도 원인 분석</w:t>
      </w:r>
    </w:p>
    <w:p>
      <w:pPr>
        <w:spacing w:after="80" w:line="324" w:lineRule="auto"/>
      </w:pPr>
      <w:r>
        <w:rPr>
          <w:rFonts w:ascii="맑은 고딕" w:hAnsi="맑은 고딕" w:eastAsia="맑은 고딕"/>
          <w:b w:val="0"/>
          <w:i w:val="0"/>
          <w:sz w:val="21"/>
        </w:rPr>
        <w:t>답변: 5-3절에서 상세히 다루었습니다. 핵심은 다음과 같습니다.</w:t>
      </w:r>
    </w:p>
    <w:p>
      <w:pPr>
        <w:pStyle w:val="ListBullet"/>
        <w:spacing w:after="60" w:line="312" w:lineRule="auto"/>
      </w:pPr>
      <w:r>
        <w:rPr>
          <w:rFonts w:ascii="맑은 고딕" w:hAnsi="맑은 고딕" w:eastAsia="맑은 고딕"/>
          <w:sz w:val="21"/>
        </w:rPr>
        <w:t xml:space="preserve"> 메커니컬 리밸런싱 + 차익실현이 최상위 가중치. 외국인 시총 비중은 오히려 36.67→39.33%로 "상승". Nomura가 "메커니컬, 펀더멘털 부정 아님"으로 직접 명시.</w:t>
      </w:r>
    </w:p>
    <w:p>
      <w:pPr>
        <w:pStyle w:val="ListBullet"/>
        <w:spacing w:after="60" w:line="312" w:lineRule="auto"/>
      </w:pPr>
      <w:r>
        <w:rPr>
          <w:rFonts w:ascii="맑은 고딕" w:hAnsi="맑은 고딕" w:eastAsia="맑은 고딕"/>
          <w:sz w:val="21"/>
        </w:rPr>
        <w:t xml:space="preserve"> 환·AI 버블 우려·MSCI 불발이 가속 요인.</w:t>
      </w:r>
    </w:p>
    <w:p>
      <w:pPr>
        <w:pStyle w:val="ListBullet"/>
        <w:spacing w:after="60" w:line="312" w:lineRule="auto"/>
      </w:pPr>
      <w:r>
        <w:rPr>
          <w:rFonts w:ascii="맑은 고딕" w:hAnsi="맑은 고딕" w:eastAsia="맑은 고딕"/>
          <w:sz w:val="21"/>
        </w:rPr>
        <w:t xml:space="preserve"> 한국 정치 리스크와의 직접 인과는 1차 출처에서 확인되지 않음.</w:t>
      </w:r>
    </w:p>
    <w:p>
      <w:r>
        <w:br w:type="page"/>
      </w:r>
    </w:p>
    <w:p>
      <w:r>
        <w:rPr>
          <w:rFonts w:ascii="맑은 고딕" w:hAnsi="맑은 고딕" w:eastAsia="맑은 고딕"/>
          <w:b/>
          <w:color w:val="1E326E"/>
          <w:sz w:val="32"/>
        </w:rPr>
        <w:t>9. 종목별·시계별 최종 판단과 행동 근거</w:t>
      </w:r>
    </w:p>
    <w:p>
      <w:r>
        <w:rPr>
          <w:rFonts w:ascii="맑은 고딕" w:hAnsi="맑은 고딕" w:eastAsia="맑은 고딕"/>
          <w:b/>
          <w:color w:val="1E326E"/>
          <w:sz w:val="26"/>
        </w:rPr>
        <w:t>9-1. SK하이닉스 (000660.KS) — 현재가 ₩2,673,000</w:t>
      </w:r>
    </w:p>
    <w:p>
      <w:r>
        <w:rPr>
          <w:rFonts w:ascii="맑은 고딕" w:hAnsi="맑은 고딕" w:eastAsia="맑은 고딕"/>
          <w:b/>
          <w:color w:val="1E326E"/>
          <w:sz w:val="22"/>
        </w:rPr>
        <w:t>단기 (0~6개월): BUY (분할 매수) — 확신도 中上</w:t>
      </w:r>
    </w:p>
    <w:p>
      <w:pPr>
        <w:spacing w:after="80" w:line="324" w:lineRule="auto"/>
      </w:pPr>
      <w:r>
        <w:rPr>
          <w:rFonts w:ascii="맑은 고딕" w:hAnsi="맑은 고딕" w:eastAsia="맑은 고딕"/>
          <w:b/>
          <w:i w:val="0"/>
          <w:sz w:val="21"/>
        </w:rPr>
        <w:t>행동 근거를 다음 4가지로 설명드립니다.</w:t>
      </w:r>
    </w:p>
    <w:p>
      <w:pPr>
        <w:pStyle w:val="ListBullet"/>
        <w:spacing w:after="60" w:line="312" w:lineRule="auto"/>
      </w:pPr>
      <w:r>
        <w:rPr>
          <w:rFonts w:ascii="맑은 고딕" w:hAnsi="맑은 고딕" w:eastAsia="맑은 고딕"/>
          <w:b/>
          <w:sz w:val="21"/>
        </w:rPr>
        <w:t xml:space="preserve">① 명확한 단기 촉매가 존재합니다 — ADR 거래 개시: </w:t>
      </w:r>
      <w:r>
        <w:rPr>
          <w:rFonts w:ascii="맑은 고딕" w:hAnsi="맑은 고딕" w:eastAsia="맑은 고딕"/>
          <w:sz w:val="21"/>
        </w:rPr>
        <w:t xml:space="preserve"> 2026-07-10 잠정 거래 개시. 한국 기업 사상 최대 ADR 발행($29B). 글로벌 인덱스 패시브 자금 유입과 가격 발견 메커니즘 동시 활성화.</w:t>
      </w:r>
    </w:p>
    <w:p>
      <w:pPr>
        <w:pStyle w:val="ListBullet"/>
        <w:spacing w:after="60" w:line="312" w:lineRule="auto"/>
      </w:pPr>
      <w:r>
        <w:rPr>
          <w:rFonts w:ascii="맑은 고딕" w:hAnsi="맑은 고딕" w:eastAsia="맑은 고딕"/>
          <w:b/>
          <w:sz w:val="21"/>
        </w:rPr>
        <w:t xml:space="preserve">② 안전마진 폭이 객관적으로 확대되었습니다: </w:t>
      </w:r>
      <w:r>
        <w:rPr>
          <w:rFonts w:ascii="맑은 고딕" w:hAnsi="맑은 고딕" w:eastAsia="맑은 고딕"/>
          <w:sz w:val="21"/>
        </w:rPr>
        <w:t xml:space="preserve"> Forward PER 6.9배는 자사 5년 밴드 하단이며, 6/26 -8.36% 추가 하락 후에는 사실상 PER 6.3배까지 진입했습니다. 마이크론(9.76배) 대비 -29% 디스카운트는 동종업계 비교상 명확히 매력적입니다.</w:t>
      </w:r>
    </w:p>
    <w:p>
      <w:pPr>
        <w:pStyle w:val="ListBullet"/>
        <w:spacing w:after="60" w:line="312" w:lineRule="auto"/>
      </w:pPr>
      <w:r>
        <w:rPr>
          <w:rFonts w:ascii="맑은 고딕" w:hAnsi="맑은 고딕" w:eastAsia="맑은 고딕"/>
          <w:b/>
          <w:sz w:val="21"/>
        </w:rPr>
        <w:t xml:space="preserve">③ 6/26 8% 급락의 본질은 매크로 패닉입니다: </w:t>
      </w:r>
      <w:r>
        <w:rPr>
          <w:rFonts w:ascii="맑은 고딕" w:hAnsi="맑은 고딕" w:eastAsia="맑은 고딕"/>
          <w:sz w:val="21"/>
        </w:rPr>
        <w:t xml:space="preserve"> 트리거가 모두 거시·인덱스 이벤트이며 1Q26 OPM 72% 펀더멘털은 훼손 없음. Nomura도 "메커니컬"로 진단. 외국인 ₩2.5조 단일일 매도는 KOSPI 시총의 0.125%에 불과해 구조적 이탈로 단정할 규모가 아닙니다.</w:t>
      </w:r>
    </w:p>
    <w:p>
      <w:pPr>
        <w:pStyle w:val="ListBullet"/>
        <w:spacing w:after="60" w:line="312" w:lineRule="auto"/>
      </w:pPr>
      <w:r>
        <w:rPr>
          <w:rFonts w:ascii="맑은 고딕" w:hAnsi="맑은 고딕" w:eastAsia="맑은 고딕"/>
          <w:b/>
          <w:sz w:val="21"/>
        </w:rPr>
        <w:t xml:space="preserve">④ 단기 변동성 대비 분할이 필요한 이유: </w:t>
      </w:r>
      <w:r>
        <w:rPr>
          <w:rFonts w:ascii="맑은 고딕" w:hAnsi="맑은 고딕" w:eastAsia="맑은 고딕"/>
          <w:sz w:val="21"/>
        </w:rPr>
        <w:t xml:space="preserve"> ADR 차익거래·dilution 단기 부담, 외인 매도 누적, 마이크론 "가격 상승률 둔화" 신호가 동시에 존재하므로, 100% 일괄 매수가 아닌 3~4회 분할이 위험 대비 합리적입니다.</w:t>
      </w:r>
    </w:p>
    <w:p>
      <w:r>
        <w:rPr>
          <w:rFonts w:ascii="맑은 고딕" w:hAnsi="맑은 고딕" w:eastAsia="맑은 고딕"/>
          <w:b/>
          <w:color w:val="1E326E"/>
          <w:sz w:val="22"/>
        </w:rPr>
        <w:t>중기 (6~24개월): BUY — 확신도 中上</w:t>
      </w:r>
    </w:p>
    <w:p>
      <w:pPr>
        <w:spacing w:after="80" w:line="324" w:lineRule="auto"/>
      </w:pPr>
      <w:r>
        <w:rPr>
          <w:rFonts w:ascii="맑은 고딕" w:hAnsi="맑은 고딕" w:eastAsia="맑은 고딕"/>
          <w:b/>
          <w:i w:val="0"/>
          <w:sz w:val="21"/>
        </w:rPr>
        <w:t>행동 근거를 다음 3가지로 설명드립니다.</w:t>
      </w:r>
    </w:p>
    <w:p>
      <w:pPr>
        <w:pStyle w:val="ListBullet"/>
        <w:spacing w:after="60" w:line="312" w:lineRule="auto"/>
      </w:pPr>
      <w:r>
        <w:rPr>
          <w:rFonts w:ascii="맑은 고딕" w:hAnsi="맑은 고딕" w:eastAsia="맑은 고딕"/>
          <w:b/>
          <w:sz w:val="21"/>
        </w:rPr>
        <w:t xml:space="preserve">① HBM4 NVIDIA Rubin 60~70% 선점: </w:t>
      </w:r>
      <w:r>
        <w:rPr>
          <w:rFonts w:ascii="맑은 고딕" w:hAnsi="맑은 고딕" w:eastAsia="맑은 고딕"/>
          <w:sz w:val="21"/>
        </w:rPr>
        <w:t xml:space="preserve"> UBS 추정으로 SK가 NVIDIA Rubin HBM4 배분의 60~70%를 선점했고, SK가 세계 최초로 HBM4 양산(2026-02)에 진입했습니다. 2027년 EPS 추가 점프 트리거가 명확합니다.</w:t>
      </w:r>
    </w:p>
    <w:p>
      <w:pPr>
        <w:pStyle w:val="ListBullet"/>
        <w:spacing w:after="60" w:line="312" w:lineRule="auto"/>
      </w:pPr>
      <w:r>
        <w:rPr>
          <w:rFonts w:ascii="맑은 고딕" w:hAnsi="맑은 고딕" w:eastAsia="맑은 고딕"/>
          <w:b/>
          <w:sz w:val="21"/>
        </w:rPr>
        <w:t xml:space="preserve">② ADR 재평가 12개월 시계: </w:t>
      </w:r>
      <w:r>
        <w:rPr>
          <w:rFonts w:ascii="맑은 고딕" w:hAnsi="맑은 고딕" w:eastAsia="맑은 고딕"/>
          <w:sz w:val="21"/>
        </w:rPr>
        <w:t xml:space="preserve"> ADR 거래가 안정화되고 미국 기관이 본격 진입하는 데 통상 6~12개월이 소요됩니다. PER이 6.9배에서 9.5배로 +38%만 재평가되어도 주가는 +60% 효과입니다.</w:t>
      </w:r>
    </w:p>
    <w:p>
      <w:pPr>
        <w:pStyle w:val="ListBullet"/>
        <w:spacing w:after="60" w:line="312" w:lineRule="auto"/>
      </w:pPr>
      <w:r>
        <w:rPr>
          <w:rFonts w:ascii="맑은 고딕" w:hAnsi="맑은 고딕" w:eastAsia="맑은 고딕"/>
          <w:b/>
          <w:sz w:val="21"/>
        </w:rPr>
        <w:t xml:space="preserve">③ 내재가치 기반 매수 가능 구간: </w:t>
      </w:r>
      <w:r>
        <w:rPr>
          <w:rFonts w:ascii="맑은 고딕" w:hAnsi="맑은 고딕" w:eastAsia="맑은 고딕"/>
          <w:sz w:val="21"/>
        </w:rPr>
        <w:t xml:space="preserve"> value-investor Base IV ₩3,150,000은 현재가(₩2,673,000) 대비 +17.8% upside. 사이클 베팅 frame과 가치투자 frame이 모두 매수 신호를 보냅니다.</w:t>
      </w:r>
    </w:p>
    <w:p>
      <w:r>
        <w:rPr>
          <w:rFonts w:ascii="맑은 고딕" w:hAnsi="맑은 고딕" w:eastAsia="맑은 고딕"/>
          <w:b/>
          <w:color w:val="1E326E"/>
          <w:sz w:val="22"/>
        </w:rPr>
        <w:t>장기 (24개월+): HOLD (편향 약한 BUY) — 확신도 中</w:t>
      </w:r>
    </w:p>
    <w:p>
      <w:pPr>
        <w:spacing w:after="80" w:line="324" w:lineRule="auto"/>
      </w:pPr>
      <w:r>
        <w:rPr>
          <w:rFonts w:ascii="맑은 고딕" w:hAnsi="맑은 고딕" w:eastAsia="맑은 고딕"/>
          <w:b/>
          <w:i w:val="0"/>
          <w:sz w:val="21"/>
        </w:rPr>
        <w:t>행동 근거를 다음 3가지로 설명드립니다.</w:t>
      </w:r>
    </w:p>
    <w:p>
      <w:pPr>
        <w:pStyle w:val="ListBullet"/>
        <w:spacing w:after="60" w:line="312" w:lineRule="auto"/>
      </w:pPr>
      <w:r>
        <w:rPr>
          <w:rFonts w:ascii="맑은 고딕" w:hAnsi="맑은 고딕" w:eastAsia="맑은 고딕"/>
          <w:b/>
          <w:sz w:val="21"/>
        </w:rPr>
        <w:t xml:space="preserve">① 메모리 산업의 구조적 한계: </w:t>
      </w:r>
      <w:r>
        <w:rPr>
          <w:rFonts w:ascii="맑은 고딕" w:hAnsi="맑은 고딕" w:eastAsia="맑은 고딕"/>
          <w:sz w:val="21"/>
        </w:rPr>
        <w:t xml:space="preserve"> 메모리는 본질적으로 자본집약·사이클성 산업이어서 영구 보유에는 적합하지 않습니다. 워렌 버핏의 TSMC 단기 청산 사례(2022~2023)가 참고가 됩니다.</w:t>
      </w:r>
    </w:p>
    <w:p>
      <w:pPr>
        <w:pStyle w:val="ListBullet"/>
        <w:spacing w:after="60" w:line="312" w:lineRule="auto"/>
      </w:pPr>
      <w:r>
        <w:rPr>
          <w:rFonts w:ascii="맑은 고딕" w:hAnsi="맑은 고딕" w:eastAsia="맑은 고딕"/>
          <w:b/>
          <w:sz w:val="21"/>
        </w:rPr>
        <w:t xml:space="preserve">② CXMT 추격 + 마이크론 1γ 동등화: </w:t>
      </w:r>
      <w:r>
        <w:rPr>
          <w:rFonts w:ascii="맑은 고딕" w:hAnsi="맑은 고딕" w:eastAsia="맑은 고딕"/>
          <w:sz w:val="21"/>
        </w:rPr>
        <w:t xml:space="preserve"> CXMT의 HBM3 양산이 2027~2028년에 본격화되면 commodity HBM 가격 압력이 발생할 수 있고, 마이크론 1γ EUV 동등화는 마진 격차 축소를 의미합니다. 24M+ 시계의 진짜 변수입니다.</w:t>
      </w:r>
    </w:p>
    <w:p>
      <w:pPr>
        <w:pStyle w:val="ListBullet"/>
        <w:spacing w:after="60" w:line="312" w:lineRule="auto"/>
      </w:pPr>
      <w:r>
        <w:rPr>
          <w:rFonts w:ascii="맑은 고딕" w:hAnsi="맑은 고딕" w:eastAsia="맑은 고딕"/>
          <w:b/>
          <w:sz w:val="21"/>
        </w:rPr>
        <w:t xml:space="preserve">③ HBM 해자의 상대적 강도: </w:t>
      </w:r>
      <w:r>
        <w:rPr>
          <w:rFonts w:ascii="맑은 고딕" w:hAnsi="맑은 고딕" w:eastAsia="맑은 고딕"/>
          <w:sz w:val="21"/>
        </w:rPr>
        <w:t xml:space="preserve"> 그럼에도 SK는 HBM 패키징·고객 lock-in이라는 상대적 해자가 있어 "약한 BUY" 편향이 가능합니다. 안전마진 매수가 ₩2.2M 이하 도달 시에는 "장기 코어 보유" 후보로도 편입 검토가 가능합니다.</w:t>
      </w:r>
    </w:p>
    <w:p>
      <w:r>
        <w:rPr>
          <w:rFonts w:ascii="맑은 고딕" w:hAnsi="맑은 고딕" w:eastAsia="맑은 고딕"/>
          <w:b/>
          <w:color w:val="1E326E"/>
          <w:sz w:val="26"/>
        </w:rPr>
        <w:t>9-2. 삼성전자 (005930.KS) — 현재가 ₩325,750</w:t>
      </w:r>
    </w:p>
    <w:p>
      <w:r>
        <w:rPr>
          <w:rFonts w:ascii="맑은 고딕" w:hAnsi="맑은 고딕" w:eastAsia="맑은 고딕"/>
          <w:b/>
          <w:color w:val="1E326E"/>
          <w:sz w:val="22"/>
        </w:rPr>
        <w:t>단기 (0~6개월): HOLD (편향 약한 BUY) — 확신도 中</w:t>
      </w:r>
    </w:p>
    <w:p>
      <w:pPr>
        <w:spacing w:after="80" w:line="324" w:lineRule="auto"/>
      </w:pPr>
      <w:r>
        <w:rPr>
          <w:rFonts w:ascii="맑은 고딕" w:hAnsi="맑은 고딕" w:eastAsia="맑은 고딕"/>
          <w:b/>
          <w:i w:val="0"/>
          <w:sz w:val="21"/>
        </w:rPr>
        <w:t>행동 근거를 다음 3가지로 설명드립니다.</w:t>
      </w:r>
    </w:p>
    <w:p>
      <w:pPr>
        <w:pStyle w:val="ListBullet"/>
        <w:spacing w:after="60" w:line="312" w:lineRule="auto"/>
      </w:pPr>
      <w:r>
        <w:rPr>
          <w:rFonts w:ascii="맑은 고딕" w:hAnsi="맑은 고딕" w:eastAsia="맑은 고딕"/>
          <w:b/>
          <w:sz w:val="21"/>
        </w:rPr>
        <w:t xml:space="preserve">① 멀티플이 부담스럽습니다: </w:t>
      </w:r>
      <w:r>
        <w:rPr>
          <w:rFonts w:ascii="맑은 고딕" w:hAnsi="맑은 고딕" w:eastAsia="맑은 고딕"/>
          <w:sz w:val="21"/>
        </w:rPr>
        <w:t xml:space="preserve"> Trailing PER 54·PBR 5.6은 어떤 잣대로도 정당화 어려운 수준입니다. 분모 EPS가 2024년 회복 초기의 잔존 효과라 Forward PER로 환산하면 약 11~13배 수준이지만, 이는 컨센서스 EPS가 유지될 때만 성립합니다.</w:t>
      </w:r>
    </w:p>
    <w:p>
      <w:pPr>
        <w:pStyle w:val="ListBullet"/>
        <w:spacing w:after="60" w:line="312" w:lineRule="auto"/>
      </w:pPr>
      <w:r>
        <w:rPr>
          <w:rFonts w:ascii="맑은 고딕" w:hAnsi="맑은 고딕" w:eastAsia="맑은 고딕"/>
          <w:b/>
          <w:sz w:val="21"/>
        </w:rPr>
        <w:t xml:space="preserve">② HBM3E 12-Hi 메인 라인 배정 미확정: </w:t>
      </w:r>
      <w:r>
        <w:rPr>
          <w:rFonts w:ascii="맑은 고딕" w:hAnsi="맑은 고딕" w:eastAsia="맑은 고딕"/>
          <w:sz w:val="21"/>
        </w:rPr>
        <w:t xml:space="preserve"> SK 대비 18개월 늦은 통과로 HBM3E 사이클 대부분의 점유를 SK·마이크론에 빼앗겼습니다. HBM4 25~30% 참여자 지위는 회복이지만 SK 60~70% 대비 명확히 후순위입니다.</w:t>
      </w:r>
    </w:p>
    <w:p>
      <w:pPr>
        <w:pStyle w:val="ListBullet"/>
        <w:spacing w:after="60" w:line="312" w:lineRule="auto"/>
      </w:pPr>
      <w:r>
        <w:rPr>
          <w:rFonts w:ascii="맑은 고딕" w:hAnsi="맑은 고딕" w:eastAsia="맑은 고딕"/>
          <w:b/>
          <w:sz w:val="21"/>
        </w:rPr>
        <w:t xml:space="preserve">③ Sympathy 매수 정도의 약한 BUY 편향: </w:t>
      </w:r>
      <w:r>
        <w:rPr>
          <w:rFonts w:ascii="맑은 고딕" w:hAnsi="맑은 고딕" w:eastAsia="맑은 고딕"/>
          <w:sz w:val="21"/>
        </w:rPr>
        <w:t xml:space="preserve"> SK가 ADR로 재평가되면 한국 메모리 섹터 ETF 자금 유입으로 +7~16% sympathy 효과가 가능하지만 SK 재평가 폭(+40~60%) 대비 작습니다. 6/26 -9% 급락 후 단기 반등은 가능하나 분할 매수가 합리적입니다.</w:t>
      </w:r>
    </w:p>
    <w:p>
      <w:r>
        <w:rPr>
          <w:rFonts w:ascii="맑은 고딕" w:hAnsi="맑은 고딕" w:eastAsia="맑은 고딕"/>
          <w:b/>
          <w:color w:val="1E326E"/>
          <w:sz w:val="22"/>
        </w:rPr>
        <w:t>중기 (6~24개월): HOLD — 확신도 中</w:t>
      </w:r>
    </w:p>
    <w:p>
      <w:pPr>
        <w:spacing w:after="80" w:line="324" w:lineRule="auto"/>
      </w:pPr>
      <w:r>
        <w:rPr>
          <w:rFonts w:ascii="맑은 고딕" w:hAnsi="맑은 고딕" w:eastAsia="맑은 고딕"/>
          <w:b/>
          <w:i w:val="0"/>
          <w:sz w:val="21"/>
        </w:rPr>
        <w:t>행동 근거를 다음 3가지로 설명드립니다.</w:t>
      </w:r>
    </w:p>
    <w:p>
      <w:pPr>
        <w:pStyle w:val="ListBullet"/>
        <w:spacing w:after="60" w:line="312" w:lineRule="auto"/>
      </w:pPr>
      <w:r>
        <w:rPr>
          <w:rFonts w:ascii="맑은 고딕" w:hAnsi="맑은 고딕" w:eastAsia="맑은 고딕"/>
          <w:b/>
          <w:sz w:val="21"/>
        </w:rPr>
        <w:t xml:space="preserve">① 두 가지 동시 충족 조건: </w:t>
      </w:r>
      <w:r>
        <w:rPr>
          <w:rFonts w:ascii="맑은 고딕" w:hAnsi="맑은 고딕" w:eastAsia="맑은 고딕"/>
          <w:sz w:val="21"/>
        </w:rPr>
        <w:t xml:space="preserve"> HBM4 25% 이상 배정 + 파운드리 BEP 가시화가 동시에 확인되면 멀티플 재평가 가능. 단 두 조건 모두가 6~24개월 내 충족된다는 보장이 없습니다.</w:t>
      </w:r>
    </w:p>
    <w:p>
      <w:pPr>
        <w:pStyle w:val="ListBullet"/>
        <w:spacing w:after="60" w:line="312" w:lineRule="auto"/>
      </w:pPr>
      <w:r>
        <w:rPr>
          <w:rFonts w:ascii="맑은 고딕" w:hAnsi="맑은 고딕" w:eastAsia="맑은 고딕"/>
          <w:b/>
          <w:sz w:val="21"/>
        </w:rPr>
        <w:t xml:space="preserve">② 파운드리 적자 부담: </w:t>
      </w:r>
      <w:r>
        <w:rPr>
          <w:rFonts w:ascii="맑은 고딕" w:hAnsi="맑은 고딕" w:eastAsia="맑은 고딕"/>
          <w:sz w:val="21"/>
        </w:rPr>
        <w:t xml:space="preserve"> 2~3분기 추가 적자가 메모리 호황 일부 상쇄. 자본 배분이 분산되어 SK 대비 unit-leverage가 떨어집니다.</w:t>
      </w:r>
    </w:p>
    <w:p>
      <w:pPr>
        <w:pStyle w:val="ListBullet"/>
        <w:spacing w:after="60" w:line="312" w:lineRule="auto"/>
      </w:pPr>
      <w:r>
        <w:rPr>
          <w:rFonts w:ascii="맑은 고딕" w:hAnsi="맑은 고딕" w:eastAsia="맑은 고딕"/>
          <w:b/>
          <w:sz w:val="21"/>
        </w:rPr>
        <w:t xml:space="preserve">③ Bull 시나리오도 현재가 미달: </w:t>
      </w:r>
      <w:r>
        <w:rPr>
          <w:rFonts w:ascii="맑은 고딕" w:hAnsi="맑은 고딕" w:eastAsia="맑은 고딕"/>
          <w:sz w:val="21"/>
        </w:rPr>
        <w:t xml:space="preserve"> value-investor Bull IV가 ₩157,500인데 현재가 ₩325,750은 그 2배입니다. 모든 성공 시나리오가 이미 가격에 반영되어 추가 상방 여지가 제한적입니다.</w:t>
      </w:r>
    </w:p>
    <w:p>
      <w:r>
        <w:rPr>
          <w:rFonts w:ascii="맑은 고딕" w:hAnsi="맑은 고딕" w:eastAsia="맑은 고딕"/>
          <w:b/>
          <w:color w:val="1E326E"/>
          <w:sz w:val="22"/>
        </w:rPr>
        <w:t>장기 (24개월+): HOLD (편향 약한 SELL) — 확신도 中下</w:t>
      </w:r>
    </w:p>
    <w:p>
      <w:pPr>
        <w:spacing w:after="80" w:line="324" w:lineRule="auto"/>
      </w:pPr>
      <w:r>
        <w:rPr>
          <w:rFonts w:ascii="맑은 고딕" w:hAnsi="맑은 고딕" w:eastAsia="맑은 고딕"/>
          <w:b/>
          <w:i w:val="0"/>
          <w:sz w:val="21"/>
        </w:rPr>
        <w:t>행동 근거를 다음 3가지로 설명드립니다.</w:t>
      </w:r>
    </w:p>
    <w:p>
      <w:pPr>
        <w:pStyle w:val="ListBullet"/>
        <w:spacing w:after="60" w:line="312" w:lineRule="auto"/>
      </w:pPr>
      <w:r>
        <w:rPr>
          <w:rFonts w:ascii="맑은 고딕" w:hAnsi="맑은 고딕" w:eastAsia="맑은 고딕"/>
          <w:b/>
          <w:sz w:val="21"/>
        </w:rPr>
        <w:t xml:space="preserve">① 복합 사업의 구조적 분산: </w:t>
      </w:r>
      <w:r>
        <w:rPr>
          <w:rFonts w:ascii="맑은 고딕" w:hAnsi="맑은 고딕" w:eastAsia="맑은 고딕"/>
          <w:sz w:val="21"/>
        </w:rPr>
        <w:t xml:space="preserve"> 메모리·파운드리·디스플레이가 섞여 자본 배분이 분산되며, 어느 한 부문에서 큰 실패가 발생하면 전체가 흔들립니다.</w:t>
      </w:r>
    </w:p>
    <w:p>
      <w:pPr>
        <w:pStyle w:val="ListBullet"/>
        <w:spacing w:after="60" w:line="312" w:lineRule="auto"/>
      </w:pPr>
      <w:r>
        <w:rPr>
          <w:rFonts w:ascii="맑은 고딕" w:hAnsi="맑은 고딕" w:eastAsia="맑은 고딕"/>
          <w:b/>
          <w:sz w:val="21"/>
        </w:rPr>
        <w:t xml:space="preserve">② HBM4 사이클에서 또 지연되면 영구 격차: </w:t>
      </w:r>
      <w:r>
        <w:rPr>
          <w:rFonts w:ascii="맑은 고딕" w:hAnsi="맑은 고딕" w:eastAsia="맑은 고딕"/>
          <w:sz w:val="21"/>
        </w:rPr>
        <w:t xml:space="preserve"> 한 번 잃은 사이클 점유는 거의 회복되지 않습니다. HBM3E 18개월 지연이 영구적 격차를 만들었고, 이는 단순 catch-up으로 해소되지 않습니다.</w:t>
      </w:r>
    </w:p>
    <w:p>
      <w:pPr>
        <w:pStyle w:val="ListBullet"/>
        <w:spacing w:after="60" w:line="312" w:lineRule="auto"/>
      </w:pPr>
      <w:r>
        <w:rPr>
          <w:rFonts w:ascii="맑은 고딕" w:hAnsi="맑은 고딕" w:eastAsia="맑은 고딕"/>
          <w:b/>
          <w:sz w:val="21"/>
        </w:rPr>
        <w:t xml:space="preserve">③ 가치투자 frame: </w:t>
      </w:r>
      <w:r>
        <w:rPr>
          <w:rFonts w:ascii="맑은 고딕" w:hAnsi="맑은 고딕" w:eastAsia="맑은 고딕"/>
          <w:sz w:val="21"/>
        </w:rPr>
        <w:t xml:space="preserve"> value-investor Base IV ₩84,000과 현재가 ₩325,750의 +288% 괴리는 24M+ 영구 보유 관점에서는 명확한 SELL 신호입니다. 다만 6~24M 사이클 베팅 frame에서는 HOLD가 합리적입니다.</w:t>
      </w:r>
    </w:p>
    <w:p>
      <w:r>
        <w:rPr>
          <w:rFonts w:ascii="맑은 고딕" w:hAnsi="맑은 고딕" w:eastAsia="맑은 고딕"/>
          <w:b/>
          <w:color w:val="1E326E"/>
          <w:sz w:val="26"/>
        </w:rPr>
        <w:t>9-3. 두 종목 중 하나만 선택해야 한다면? — SK하이닉스</w:t>
      </w:r>
    </w:p>
    <w:p>
      <w:pPr>
        <w:spacing w:after="80" w:line="324" w:lineRule="auto"/>
      </w:pPr>
      <w:r>
        <w:rPr>
          <w:rFonts w:ascii="맑은 고딕" w:hAnsi="맑은 고딕" w:eastAsia="맑은 고딕"/>
          <w:b/>
          <w:i w:val="0"/>
          <w:sz w:val="21"/>
        </w:rPr>
        <w:t>선택 근거를 다음 4가지로 설명드립니다.</w:t>
      </w:r>
    </w:p>
    <w:p>
      <w:pPr>
        <w:pStyle w:val="ListBullet"/>
        <w:spacing w:after="60" w:line="312" w:lineRule="auto"/>
      </w:pPr>
      <w:r>
        <w:rPr>
          <w:rFonts w:ascii="맑은 고딕" w:hAnsi="맑은 고딕" w:eastAsia="맑은 고딕"/>
          <w:b/>
          <w:sz w:val="21"/>
        </w:rPr>
        <w:t xml:space="preserve">① 레버리지 우위: </w:t>
      </w:r>
      <w:r>
        <w:rPr>
          <w:rFonts w:ascii="맑은 고딕" w:hAnsi="맑은 고딕" w:eastAsia="맑은 고딕"/>
          <w:sz w:val="21"/>
        </w:rPr>
        <w:t xml:space="preserve"> HBM 점유 50% + OPM 72% + HBM4 NVIDIA 60~70% 선점이라는 unit-leverage는 메모리 3사 중 압도적입니다.</w:t>
      </w:r>
    </w:p>
    <w:p>
      <w:pPr>
        <w:pStyle w:val="ListBullet"/>
        <w:spacing w:after="60" w:line="312" w:lineRule="auto"/>
      </w:pPr>
      <w:r>
        <w:rPr>
          <w:rFonts w:ascii="맑은 고딕" w:hAnsi="맑은 고딕" w:eastAsia="맑은 고딕"/>
          <w:b/>
          <w:sz w:val="21"/>
        </w:rPr>
        <w:t xml:space="preserve">② 밸류에이션 매력: </w:t>
      </w:r>
      <w:r>
        <w:rPr>
          <w:rFonts w:ascii="맑은 고딕" w:hAnsi="맑은 고딕" w:eastAsia="맑은 고딕"/>
          <w:sz w:val="21"/>
        </w:rPr>
        <w:t xml:space="preserve"> Forward PER 6.9배는 동종업계 대비 -29~-69% 디스카운트. 사이클 정점 가격 책정에도 안전마진이 일부 확보된 상태입니다.</w:t>
      </w:r>
    </w:p>
    <w:p>
      <w:pPr>
        <w:pStyle w:val="ListBullet"/>
        <w:spacing w:after="60" w:line="312" w:lineRule="auto"/>
      </w:pPr>
      <w:r>
        <w:rPr>
          <w:rFonts w:ascii="맑은 고딕" w:hAnsi="맑은 고딕" w:eastAsia="맑은 고딕"/>
          <w:b/>
          <w:sz w:val="21"/>
        </w:rPr>
        <w:t xml:space="preserve">③ 단기 비대칭 촉매: </w:t>
      </w:r>
      <w:r>
        <w:rPr>
          <w:rFonts w:ascii="맑은 고딕" w:hAnsi="맑은 고딕" w:eastAsia="맑은 고딕"/>
          <w:sz w:val="21"/>
        </w:rPr>
        <w:t xml:space="preserve"> ADR 7/10 거래 개시는 SK 고유의 비대칭 상방 트리거입니다. 삼성에는 같은 수준의 단기 catalyst가 없습니다.</w:t>
      </w:r>
    </w:p>
    <w:p>
      <w:pPr>
        <w:pStyle w:val="ListBullet"/>
        <w:spacing w:after="60" w:line="312" w:lineRule="auto"/>
      </w:pPr>
      <w:r>
        <w:rPr>
          <w:rFonts w:ascii="맑은 고딕" w:hAnsi="맑은 고딕" w:eastAsia="맑은 고딕"/>
          <w:b/>
          <w:sz w:val="21"/>
        </w:rPr>
        <w:t xml:space="preserve">④ 가치투자 frame: </w:t>
      </w:r>
      <w:r>
        <w:rPr>
          <w:rFonts w:ascii="맑은 고딕" w:hAnsi="맑은 고딕" w:eastAsia="맑은 고딕"/>
          <w:sz w:val="21"/>
        </w:rPr>
        <w:t xml:space="preserve"> value-investor가 SK는 "Wait", 삼성은 "Pass"로 판정. 안전마진가 ₩2.2M 도달 시 장기 코어 편입 가능. 삼성은 어떤 가정으로도 IV 정당화 불가.</w:t>
      </w:r>
    </w:p>
    <w:p>
      <w:r>
        <w:br w:type="page"/>
      </w:r>
    </w:p>
    <w:p>
      <w:r>
        <w:rPr>
          <w:rFonts w:ascii="맑은 고딕" w:hAnsi="맑은 고딕" w:eastAsia="맑은 고딕"/>
          <w:b/>
          <w:color w:val="1E326E"/>
          <w:sz w:val="32"/>
        </w:rPr>
        <w:t>10. 조건부 행동 트리거 — 향후 이런 일이 발생하면 이렇게 바꿉니다</w:t>
      </w:r>
    </w:p>
    <w:p>
      <w:pPr>
        <w:spacing w:after="80" w:line="324" w:lineRule="auto"/>
      </w:pPr>
      <w:r>
        <w:rPr>
          <w:rFonts w:ascii="맑은 고딕" w:hAnsi="맑은 고딕" w:eastAsia="맑은 고딕"/>
          <w:b w:val="0"/>
          <w:i w:val="0"/>
          <w:sz w:val="21"/>
        </w:rPr>
        <w:t>현재 시점에서 확정적으로 예측할 수 없는 변수가 많습니다. 이를 위해 "X 데이터·이벤트가 발생하면 → Y 행동으로 바꾼다" 형식의 조건부 트리거를 단기·중기·장기로 나누어 정리했습니다. 실제 투자에서는 이 트리거를 watchlist로 등록하고 발생 시 행동을 실행하는 것이 합리적입니다.</w:t>
      </w:r>
    </w:p>
    <w:p>
      <w:r>
        <w:rPr>
          <w:rFonts w:ascii="맑은 고딕" w:hAnsi="맑은 고딕" w:eastAsia="맑은 고딕"/>
          <w:b/>
          <w:color w:val="1E326E"/>
          <w:sz w:val="26"/>
        </w:rPr>
        <w:t>10-1. 단기 (0~6개월) 조건부 트리거</w:t>
      </w:r>
    </w:p>
    <w:tbl>
      <w:tblPr>
        <w:tblStyle w:val="LightGrid-Accent1"/>
        <w:tblW w:type="auto" w:w="0"/>
        <w:tblLook w:firstColumn="1" w:firstRow="1" w:lastColumn="0" w:lastRow="0" w:noHBand="0" w:noVBand="1" w:val="04A0"/>
      </w:tblPr>
      <w:tblGrid>
        <w:gridCol w:w="4986"/>
        <w:gridCol w:w="4986"/>
      </w:tblGrid>
      <w:tr>
        <w:tc>
          <w:tcPr>
            <w:tcW w:type="dxa" w:w="5102"/>
            <w:shd w:val="clear" w:color="auto" w:fill="1E3270"/>
          </w:tcPr>
          <w:p>
            <w:pPr>
              <w:jc w:val="center"/>
            </w:pPr>
            <w:r/>
            <w:r>
              <w:rPr>
                <w:rFonts w:ascii="맑은 고딕" w:hAnsi="맑은 고딕" w:eastAsia="맑은 고딕"/>
                <w:b/>
                <w:color w:val="FFFFFF"/>
                <w:sz w:val="20"/>
              </w:rPr>
              <w:t>트리거 이벤트</w:t>
            </w:r>
          </w:p>
        </w:tc>
        <w:tc>
          <w:tcPr>
            <w:tcW w:type="dxa" w:w="4535"/>
            <w:shd w:val="clear" w:color="auto" w:fill="1E3270"/>
          </w:tcPr>
          <w:p>
            <w:pPr>
              <w:jc w:val="center"/>
            </w:pPr>
            <w:r/>
            <w:r>
              <w:rPr>
                <w:rFonts w:ascii="맑은 고딕" w:hAnsi="맑은 고딕" w:eastAsia="맑은 고딕"/>
                <w:b/>
                <w:color w:val="FFFFFF"/>
                <w:sz w:val="20"/>
              </w:rPr>
              <w:t>행동 변경</w:t>
            </w:r>
          </w:p>
        </w:tc>
      </w:tr>
      <w:tr>
        <w:tc>
          <w:tcPr>
            <w:tcW w:type="dxa" w:w="5102"/>
          </w:tcPr>
          <w:p>
            <w:pPr>
              <w:spacing w:line="300" w:lineRule="auto"/>
            </w:pPr>
            <w:r/>
            <w:r>
              <w:rPr>
                <w:rFonts w:ascii="맑은 고딕" w:hAnsi="맑은 고딕" w:eastAsia="맑은 고딕"/>
                <w:sz w:val="19"/>
              </w:rPr>
              <w:t>SK ADR 7/10 거래 개시 +5% 이상 프리미엄으로 시작</w:t>
            </w:r>
          </w:p>
        </w:tc>
        <w:tc>
          <w:tcPr>
            <w:tcW w:type="dxa" w:w="4535"/>
          </w:tcPr>
          <w:p>
            <w:pPr>
              <w:spacing w:line="300" w:lineRule="auto"/>
            </w:pPr>
            <w:r/>
            <w:r>
              <w:rPr>
                <w:rFonts w:ascii="맑은 고딕" w:hAnsi="맑은 고딕" w:eastAsia="맑은 고딕"/>
                <w:sz w:val="19"/>
              </w:rPr>
              <w:t>SK 비중 +5%p 추가 (분할 매수 가속)</w:t>
            </w:r>
          </w:p>
        </w:tc>
      </w:tr>
      <w:tr>
        <w:tc>
          <w:tcPr>
            <w:tcW w:type="dxa" w:w="5102"/>
          </w:tcPr>
          <w:p>
            <w:pPr>
              <w:spacing w:line="300" w:lineRule="auto"/>
            </w:pPr>
            <w:r/>
            <w:r>
              <w:rPr>
                <w:rFonts w:ascii="맑은 고딕" w:hAnsi="맑은 고딕" w:eastAsia="맑은 고딕"/>
                <w:sz w:val="19"/>
              </w:rPr>
              <w:t>SK ADR 거래 개시 -5% 이상 dilution 충격</w:t>
            </w:r>
          </w:p>
        </w:tc>
        <w:tc>
          <w:tcPr>
            <w:tcW w:type="dxa" w:w="4535"/>
          </w:tcPr>
          <w:p>
            <w:pPr>
              <w:spacing w:line="300" w:lineRule="auto"/>
            </w:pPr>
            <w:r/>
            <w:r>
              <w:rPr>
                <w:rFonts w:ascii="맑은 고딕" w:hAnsi="맑은 고딕" w:eastAsia="맑은 고딕"/>
                <w:sz w:val="19"/>
              </w:rPr>
              <w:t>SK 신규 매수 일시 중단, 2주 관망 후 ₩2,400,000 이하 재진입</w:t>
            </w:r>
          </w:p>
        </w:tc>
      </w:tr>
      <w:tr>
        <w:tc>
          <w:tcPr>
            <w:tcW w:type="dxa" w:w="5102"/>
          </w:tcPr>
          <w:p>
            <w:pPr>
              <w:spacing w:line="300" w:lineRule="auto"/>
            </w:pPr>
            <w:r/>
            <w:r>
              <w:rPr>
                <w:rFonts w:ascii="맑은 고딕" w:hAnsi="맑은 고딕" w:eastAsia="맑은 고딕"/>
                <w:sz w:val="19"/>
              </w:rPr>
              <w:t>삼성 HBM3E 12-Hi NVIDIA 메인 인증 + 물량 배정 공식 발표</w:t>
            </w:r>
          </w:p>
        </w:tc>
        <w:tc>
          <w:tcPr>
            <w:tcW w:type="dxa" w:w="4535"/>
          </w:tcPr>
          <w:p>
            <w:pPr>
              <w:spacing w:line="300" w:lineRule="auto"/>
            </w:pPr>
            <w:r/>
            <w:r>
              <w:rPr>
                <w:rFonts w:ascii="맑은 고딕" w:hAnsi="맑은 고딕" w:eastAsia="맑은 고딕"/>
                <w:sz w:val="19"/>
              </w:rPr>
              <w:t>삼성 HOLD → BUY 상향, +5%p 비중확대</w:t>
            </w:r>
          </w:p>
        </w:tc>
      </w:tr>
      <w:tr>
        <w:tc>
          <w:tcPr>
            <w:tcW w:type="dxa" w:w="5102"/>
          </w:tcPr>
          <w:p>
            <w:pPr>
              <w:spacing w:line="300" w:lineRule="auto"/>
            </w:pPr>
            <w:r/>
            <w:r>
              <w:rPr>
                <w:rFonts w:ascii="맑은 고딕" w:hAnsi="맑은 고딕" w:eastAsia="맑은 고딕"/>
                <w:sz w:val="19"/>
              </w:rPr>
              <w:t>마이크론 차기 분기(2026-09 발표) DRAM ASP YoY 둔화 -10%p 이상 가속</w:t>
            </w:r>
          </w:p>
        </w:tc>
        <w:tc>
          <w:tcPr>
            <w:tcW w:type="dxa" w:w="4535"/>
          </w:tcPr>
          <w:p>
            <w:pPr>
              <w:spacing w:line="300" w:lineRule="auto"/>
            </w:pPr>
            <w:r/>
            <w:r>
              <w:rPr>
                <w:rFonts w:ascii="맑은 고딕" w:hAnsi="맑은 고딕" w:eastAsia="맑은 고딕"/>
                <w:sz w:val="19"/>
              </w:rPr>
              <w:t>양 종목 트림 20%, 단기 SELL 전환 검토</w:t>
            </w:r>
          </w:p>
        </w:tc>
      </w:tr>
      <w:tr>
        <w:tc>
          <w:tcPr>
            <w:tcW w:type="dxa" w:w="5102"/>
          </w:tcPr>
          <w:p>
            <w:pPr>
              <w:spacing w:line="300" w:lineRule="auto"/>
            </w:pPr>
            <w:r/>
            <w:r>
              <w:rPr>
                <w:rFonts w:ascii="맑은 고딕" w:hAnsi="맑은 고딕" w:eastAsia="맑은 고딕"/>
                <w:sz w:val="19"/>
              </w:rPr>
              <w:t>KOSPI 추가 -5% 패닉 + 외인 단일 ₩3조 이상 순매도</w:t>
            </w:r>
          </w:p>
        </w:tc>
        <w:tc>
          <w:tcPr>
            <w:tcW w:type="dxa" w:w="4535"/>
          </w:tcPr>
          <w:p>
            <w:pPr>
              <w:spacing w:line="300" w:lineRule="auto"/>
            </w:pPr>
            <w:r/>
            <w:r>
              <w:rPr>
                <w:rFonts w:ascii="맑은 고딕" w:hAnsi="맑은 고딕" w:eastAsia="맑은 고딕"/>
                <w:sz w:val="19"/>
              </w:rPr>
              <w:t>SK ₩2.4M·삼성 ₩290k 이하에서 분할 추가매수 트리거 (역발상)</w:t>
            </w:r>
          </w:p>
        </w:tc>
      </w:tr>
      <w:tr>
        <w:tc>
          <w:tcPr>
            <w:tcW w:type="dxa" w:w="5102"/>
          </w:tcPr>
          <w:p>
            <w:pPr>
              <w:spacing w:line="300" w:lineRule="auto"/>
            </w:pPr>
            <w:r/>
            <w:r>
              <w:rPr>
                <w:rFonts w:ascii="맑은 고딕" w:hAnsi="맑은 고딕" w:eastAsia="맑은 고딕"/>
                <w:sz w:val="19"/>
              </w:rPr>
              <w:t>Fed 7월 FOMC 50bp 인상 또는 매파 surprise</w:t>
            </w:r>
          </w:p>
        </w:tc>
        <w:tc>
          <w:tcPr>
            <w:tcW w:type="dxa" w:w="4535"/>
          </w:tcPr>
          <w:p>
            <w:pPr>
              <w:spacing w:line="300" w:lineRule="auto"/>
            </w:pPr>
            <w:r/>
            <w:r>
              <w:rPr>
                <w:rFonts w:ascii="맑은 고딕" w:hAnsi="맑은 고딕" w:eastAsia="맑은 고딕"/>
                <w:sz w:val="19"/>
              </w:rPr>
              <w:t>양 종목 트림 15~20%, 현금 비중 35%로 상향</w:t>
            </w:r>
          </w:p>
        </w:tc>
      </w:tr>
      <w:tr>
        <w:tc>
          <w:tcPr>
            <w:tcW w:type="dxa" w:w="5102"/>
          </w:tcPr>
          <w:p>
            <w:pPr>
              <w:spacing w:line="300" w:lineRule="auto"/>
            </w:pPr>
            <w:r/>
            <w:r>
              <w:rPr>
                <w:rFonts w:ascii="맑은 고딕" w:hAnsi="맑은 고딕" w:eastAsia="맑은 고딕"/>
                <w:sz w:val="19"/>
              </w:rPr>
              <w:t>MSCI 8월 분기 리뷰에서 한국 워치리스트 등재</w:t>
            </w:r>
          </w:p>
        </w:tc>
        <w:tc>
          <w:tcPr>
            <w:tcW w:type="dxa" w:w="4535"/>
          </w:tcPr>
          <w:p>
            <w:pPr>
              <w:spacing w:line="300" w:lineRule="auto"/>
            </w:pPr>
            <w:r/>
            <w:r>
              <w:rPr>
                <w:rFonts w:ascii="맑은 고딕" w:hAnsi="맑은 고딕" w:eastAsia="맑은 고딕"/>
                <w:sz w:val="19"/>
              </w:rPr>
              <w:t>외인 매도 압력 완화 → 양 종목 BUY 강화</w:t>
            </w:r>
          </w:p>
        </w:tc>
      </w:tr>
    </w:tbl>
    <w:p/>
    <w:p>
      <w:r>
        <w:rPr>
          <w:rFonts w:ascii="맑은 고딕" w:hAnsi="맑은 고딕" w:eastAsia="맑은 고딕"/>
          <w:b/>
          <w:color w:val="1E326E"/>
          <w:sz w:val="26"/>
        </w:rPr>
        <w:t>10-2. 중기 (6~24개월) 조건부 트리거</w:t>
      </w:r>
    </w:p>
    <w:tbl>
      <w:tblPr>
        <w:tblStyle w:val="LightGrid-Accent1"/>
        <w:tblW w:type="auto" w:w="0"/>
        <w:tblLook w:firstColumn="1" w:firstRow="1" w:lastColumn="0" w:lastRow="0" w:noHBand="0" w:noVBand="1" w:val="04A0"/>
      </w:tblPr>
      <w:tblGrid>
        <w:gridCol w:w="4986"/>
        <w:gridCol w:w="4986"/>
      </w:tblGrid>
      <w:tr>
        <w:tc>
          <w:tcPr>
            <w:tcW w:type="dxa" w:w="5102"/>
            <w:shd w:val="clear" w:color="auto" w:fill="1E3270"/>
          </w:tcPr>
          <w:p>
            <w:pPr>
              <w:jc w:val="center"/>
            </w:pPr>
            <w:r/>
            <w:r>
              <w:rPr>
                <w:rFonts w:ascii="맑은 고딕" w:hAnsi="맑은 고딕" w:eastAsia="맑은 고딕"/>
                <w:b/>
                <w:color w:val="FFFFFF"/>
                <w:sz w:val="20"/>
              </w:rPr>
              <w:t>트리거 이벤트</w:t>
            </w:r>
          </w:p>
        </w:tc>
        <w:tc>
          <w:tcPr>
            <w:tcW w:type="dxa" w:w="4535"/>
            <w:shd w:val="clear" w:color="auto" w:fill="1E3270"/>
          </w:tcPr>
          <w:p>
            <w:pPr>
              <w:jc w:val="center"/>
            </w:pPr>
            <w:r/>
            <w:r>
              <w:rPr>
                <w:rFonts w:ascii="맑은 고딕" w:hAnsi="맑은 고딕" w:eastAsia="맑은 고딕"/>
                <w:b/>
                <w:color w:val="FFFFFF"/>
                <w:sz w:val="20"/>
              </w:rPr>
              <w:t>행동 변경</w:t>
            </w:r>
          </w:p>
        </w:tc>
      </w:tr>
      <w:tr>
        <w:tc>
          <w:tcPr>
            <w:tcW w:type="dxa" w:w="5102"/>
          </w:tcPr>
          <w:p>
            <w:pPr>
              <w:spacing w:line="300" w:lineRule="auto"/>
            </w:pPr>
            <w:r/>
            <w:r>
              <w:rPr>
                <w:rFonts w:ascii="맑은 고딕" w:hAnsi="맑은 고딕" w:eastAsia="맑은 고딕"/>
                <w:sz w:val="19"/>
              </w:rPr>
              <w:t>NVIDIA Rubin HBM4 SK 60% 이상 공식 배정 확정</w:t>
            </w:r>
          </w:p>
        </w:tc>
        <w:tc>
          <w:tcPr>
            <w:tcW w:type="dxa" w:w="4535"/>
          </w:tcPr>
          <w:p>
            <w:pPr>
              <w:spacing w:line="300" w:lineRule="auto"/>
            </w:pPr>
            <w:r/>
            <w:r>
              <w:rPr>
                <w:rFonts w:ascii="맑은 고딕" w:hAnsi="맑은 고딕" w:eastAsia="맑은 고딕"/>
                <w:sz w:val="19"/>
              </w:rPr>
              <w:t>SK 중기 BUY 유지, 목표가 ₩3.8~4.2M로 상향</w:t>
            </w:r>
          </w:p>
        </w:tc>
      </w:tr>
      <w:tr>
        <w:tc>
          <w:tcPr>
            <w:tcW w:type="dxa" w:w="5102"/>
          </w:tcPr>
          <w:p>
            <w:pPr>
              <w:spacing w:line="300" w:lineRule="auto"/>
            </w:pPr>
            <w:r/>
            <w:r>
              <w:rPr>
                <w:rFonts w:ascii="맑은 고딕" w:hAnsi="맑은 고딕" w:eastAsia="맑은 고딕"/>
                <w:sz w:val="19"/>
              </w:rPr>
              <w:t>삼성 HBM4 NVIDIA 공식 인증 + 30% 이상 배정</w:t>
            </w:r>
          </w:p>
        </w:tc>
        <w:tc>
          <w:tcPr>
            <w:tcW w:type="dxa" w:w="4535"/>
          </w:tcPr>
          <w:p>
            <w:pPr>
              <w:spacing w:line="300" w:lineRule="auto"/>
            </w:pPr>
            <w:r/>
            <w:r>
              <w:rPr>
                <w:rFonts w:ascii="맑은 고딕" w:hAnsi="맑은 고딕" w:eastAsia="맑은 고딕"/>
                <w:sz w:val="19"/>
              </w:rPr>
              <w:t>삼성 중기 HOLD → BUY 상향</w:t>
            </w:r>
          </w:p>
        </w:tc>
      </w:tr>
      <w:tr>
        <w:tc>
          <w:tcPr>
            <w:tcW w:type="dxa" w:w="5102"/>
          </w:tcPr>
          <w:p>
            <w:pPr>
              <w:spacing w:line="300" w:lineRule="auto"/>
            </w:pPr>
            <w:r/>
            <w:r>
              <w:rPr>
                <w:rFonts w:ascii="맑은 고딕" w:hAnsi="맑은 고딕" w:eastAsia="맑은 고딕"/>
                <w:sz w:val="19"/>
              </w:rPr>
              <w:t>빅테크 2027 capex 가이던스 +60% YoY 이하로 둔화</w:t>
            </w:r>
          </w:p>
        </w:tc>
        <w:tc>
          <w:tcPr>
            <w:tcW w:type="dxa" w:w="4535"/>
          </w:tcPr>
          <w:p>
            <w:pPr>
              <w:spacing w:line="300" w:lineRule="auto"/>
            </w:pPr>
            <w:r/>
            <w:r>
              <w:rPr>
                <w:rFonts w:ascii="맑은 고딕" w:hAnsi="맑은 고딕" w:eastAsia="맑은 고딕"/>
                <w:sz w:val="19"/>
              </w:rPr>
              <w:t>양 종목 트림 25%, 중기 HOLD 하향</w:t>
            </w:r>
          </w:p>
        </w:tc>
      </w:tr>
      <w:tr>
        <w:tc>
          <w:tcPr>
            <w:tcW w:type="dxa" w:w="5102"/>
          </w:tcPr>
          <w:p>
            <w:pPr>
              <w:spacing w:line="300" w:lineRule="auto"/>
            </w:pPr>
            <w:r/>
            <w:r>
              <w:rPr>
                <w:rFonts w:ascii="맑은 고딕" w:hAnsi="맑은 고딕" w:eastAsia="맑은 고딕"/>
                <w:sz w:val="19"/>
              </w:rPr>
              <w:t>CXMT HBM3 양산 + 중국 내 점유 10% 돌파</w:t>
            </w:r>
          </w:p>
        </w:tc>
        <w:tc>
          <w:tcPr>
            <w:tcW w:type="dxa" w:w="4535"/>
          </w:tcPr>
          <w:p>
            <w:pPr>
              <w:spacing w:line="300" w:lineRule="auto"/>
            </w:pPr>
            <w:r/>
            <w:r>
              <w:rPr>
                <w:rFonts w:ascii="맑은 고딕" w:hAnsi="맑은 고딕" w:eastAsia="맑은 고딕"/>
                <w:sz w:val="19"/>
              </w:rPr>
              <w:t>SK·삼성 중기 BUY → HOLD 하향</w:t>
            </w:r>
          </w:p>
        </w:tc>
      </w:tr>
      <w:tr>
        <w:tc>
          <w:tcPr>
            <w:tcW w:type="dxa" w:w="5102"/>
          </w:tcPr>
          <w:p>
            <w:pPr>
              <w:spacing w:line="300" w:lineRule="auto"/>
            </w:pPr>
            <w:r/>
            <w:r>
              <w:rPr>
                <w:rFonts w:ascii="맑은 고딕" w:hAnsi="맑은 고딕" w:eastAsia="맑은 고딕"/>
                <w:sz w:val="19"/>
              </w:rPr>
              <w:t>글로벌 DRAM 재고 일수 6주 초과(현재 3~4주 추정)</w:t>
            </w:r>
          </w:p>
        </w:tc>
        <w:tc>
          <w:tcPr>
            <w:tcW w:type="dxa" w:w="4535"/>
          </w:tcPr>
          <w:p>
            <w:pPr>
              <w:spacing w:line="300" w:lineRule="auto"/>
            </w:pPr>
            <w:r/>
            <w:r>
              <w:rPr>
                <w:rFonts w:ascii="맑은 고딕" w:hAnsi="맑은 고딕" w:eastAsia="맑은 고딕"/>
                <w:sz w:val="19"/>
              </w:rPr>
              <w:t>사이클 정점 통과 신호 → 양 종목 SELL 전환</w:t>
            </w:r>
          </w:p>
        </w:tc>
      </w:tr>
      <w:tr>
        <w:tc>
          <w:tcPr>
            <w:tcW w:type="dxa" w:w="5102"/>
          </w:tcPr>
          <w:p>
            <w:pPr>
              <w:spacing w:line="300" w:lineRule="auto"/>
            </w:pPr>
            <w:r/>
            <w:r>
              <w:rPr>
                <w:rFonts w:ascii="맑은 고딕" w:hAnsi="맑은 고딕" w:eastAsia="맑은 고딕"/>
                <w:sz w:val="19"/>
              </w:rPr>
              <w:t>미·중 반도체 추가 수출통제 강화(HBM 포함)</w:t>
            </w:r>
          </w:p>
        </w:tc>
        <w:tc>
          <w:tcPr>
            <w:tcW w:type="dxa" w:w="4535"/>
          </w:tcPr>
          <w:p>
            <w:pPr>
              <w:spacing w:line="300" w:lineRule="auto"/>
            </w:pPr>
            <w:r/>
            <w:r>
              <w:rPr>
                <w:rFonts w:ascii="맑은 고딕" w:hAnsi="맑은 고딕" w:eastAsia="맑은 고딕"/>
                <w:sz w:val="19"/>
              </w:rPr>
              <w:t>SK 단기 +10% 반등, 단 중기로는 mix 부정적 → HOLD</w:t>
            </w:r>
          </w:p>
        </w:tc>
      </w:tr>
    </w:tbl>
    <w:p/>
    <w:p>
      <w:r>
        <w:rPr>
          <w:rFonts w:ascii="맑은 고딕" w:hAnsi="맑은 고딕" w:eastAsia="맑은 고딕"/>
          <w:b/>
          <w:color w:val="1E326E"/>
          <w:sz w:val="26"/>
        </w:rPr>
        <w:t>10-3. 장기 (24개월+) 조건부 트리거</w:t>
      </w:r>
    </w:p>
    <w:tbl>
      <w:tblPr>
        <w:tblStyle w:val="LightGrid-Accent1"/>
        <w:tblW w:type="auto" w:w="0"/>
        <w:tblLook w:firstColumn="1" w:firstRow="1" w:lastColumn="0" w:lastRow="0" w:noHBand="0" w:noVBand="1" w:val="04A0"/>
      </w:tblPr>
      <w:tblGrid>
        <w:gridCol w:w="4986"/>
        <w:gridCol w:w="4986"/>
      </w:tblGrid>
      <w:tr>
        <w:tc>
          <w:tcPr>
            <w:tcW w:type="dxa" w:w="5102"/>
            <w:shd w:val="clear" w:color="auto" w:fill="1E3270"/>
          </w:tcPr>
          <w:p>
            <w:pPr>
              <w:jc w:val="center"/>
            </w:pPr>
            <w:r/>
            <w:r>
              <w:rPr>
                <w:rFonts w:ascii="맑은 고딕" w:hAnsi="맑은 고딕" w:eastAsia="맑은 고딕"/>
                <w:b/>
                <w:color w:val="FFFFFF"/>
                <w:sz w:val="20"/>
              </w:rPr>
              <w:t>트리거 이벤트</w:t>
            </w:r>
          </w:p>
        </w:tc>
        <w:tc>
          <w:tcPr>
            <w:tcW w:type="dxa" w:w="4535"/>
            <w:shd w:val="clear" w:color="auto" w:fill="1E3270"/>
          </w:tcPr>
          <w:p>
            <w:pPr>
              <w:jc w:val="center"/>
            </w:pPr>
            <w:r/>
            <w:r>
              <w:rPr>
                <w:rFonts w:ascii="맑은 고딕" w:hAnsi="맑은 고딕" w:eastAsia="맑은 고딕"/>
                <w:b/>
                <w:color w:val="FFFFFF"/>
                <w:sz w:val="20"/>
              </w:rPr>
              <w:t>행동 변경</w:t>
            </w:r>
          </w:p>
        </w:tc>
      </w:tr>
      <w:tr>
        <w:tc>
          <w:tcPr>
            <w:tcW w:type="dxa" w:w="5102"/>
          </w:tcPr>
          <w:p>
            <w:pPr>
              <w:spacing w:line="300" w:lineRule="auto"/>
            </w:pPr>
            <w:r/>
            <w:r>
              <w:rPr>
                <w:rFonts w:ascii="맑은 고딕" w:hAnsi="맑은 고딕" w:eastAsia="맑은 고딕"/>
                <w:sz w:val="19"/>
              </w:rPr>
              <w:t>SK·삼성 메모리 OPM 2년 연속 50% 이상 유지</w:t>
            </w:r>
          </w:p>
        </w:tc>
        <w:tc>
          <w:tcPr>
            <w:tcW w:type="dxa" w:w="4535"/>
          </w:tcPr>
          <w:p>
            <w:pPr>
              <w:spacing w:line="300" w:lineRule="auto"/>
            </w:pPr>
            <w:r/>
            <w:r>
              <w:rPr>
                <w:rFonts w:ascii="맑은 고딕" w:hAnsi="맑은 고딕" w:eastAsia="맑은 고딕"/>
                <w:sz w:val="19"/>
              </w:rPr>
              <w:t>가치투자 frame에서도 BUY로 재평가, IV 재산정</w:t>
            </w:r>
          </w:p>
        </w:tc>
      </w:tr>
      <w:tr>
        <w:tc>
          <w:tcPr>
            <w:tcW w:type="dxa" w:w="5102"/>
          </w:tcPr>
          <w:p>
            <w:pPr>
              <w:spacing w:line="300" w:lineRule="auto"/>
            </w:pPr>
            <w:r/>
            <w:r>
              <w:rPr>
                <w:rFonts w:ascii="맑은 고딕" w:hAnsi="맑은 고딕" w:eastAsia="맑은 고딕"/>
                <w:sz w:val="19"/>
              </w:rPr>
              <w:t>마이크론·CXMT 합산 점유율 50% 돌파</w:t>
            </w:r>
          </w:p>
        </w:tc>
        <w:tc>
          <w:tcPr>
            <w:tcW w:type="dxa" w:w="4535"/>
          </w:tcPr>
          <w:p>
            <w:pPr>
              <w:spacing w:line="300" w:lineRule="auto"/>
            </w:pPr>
            <w:r/>
            <w:r>
              <w:rPr>
                <w:rFonts w:ascii="맑은 고딕" w:hAnsi="맑은 고딕" w:eastAsia="맑은 고딕"/>
                <w:sz w:val="19"/>
              </w:rPr>
              <w:t>양 종목 장기 SELL 확정</w:t>
            </w:r>
          </w:p>
        </w:tc>
      </w:tr>
      <w:tr>
        <w:tc>
          <w:tcPr>
            <w:tcW w:type="dxa" w:w="5102"/>
          </w:tcPr>
          <w:p>
            <w:pPr>
              <w:spacing w:line="300" w:lineRule="auto"/>
            </w:pPr>
            <w:r/>
            <w:r>
              <w:rPr>
                <w:rFonts w:ascii="맑은 고딕" w:hAnsi="맑은 고딕" w:eastAsia="맑은 고딕"/>
                <w:sz w:val="19"/>
              </w:rPr>
              <w:t>삼성 파운드리 흑자 전환 + 2nm 양산 성공</w:t>
            </w:r>
          </w:p>
        </w:tc>
        <w:tc>
          <w:tcPr>
            <w:tcW w:type="dxa" w:w="4535"/>
          </w:tcPr>
          <w:p>
            <w:pPr>
              <w:spacing w:line="300" w:lineRule="auto"/>
            </w:pPr>
            <w:r/>
            <w:r>
              <w:rPr>
                <w:rFonts w:ascii="맑은 고딕" w:hAnsi="맑은 고딕" w:eastAsia="맑은 고딕"/>
                <w:sz w:val="19"/>
              </w:rPr>
              <w:t>삼성 장기 HOLD → BUY 상향</w:t>
            </w:r>
          </w:p>
        </w:tc>
      </w:tr>
      <w:tr>
        <w:tc>
          <w:tcPr>
            <w:tcW w:type="dxa" w:w="5102"/>
          </w:tcPr>
          <w:p>
            <w:pPr>
              <w:spacing w:line="300" w:lineRule="auto"/>
            </w:pPr>
            <w:r/>
            <w:r>
              <w:rPr>
                <w:rFonts w:ascii="맑은 고딕" w:hAnsi="맑은 고딕" w:eastAsia="맑은 고딕"/>
                <w:sz w:val="19"/>
              </w:rPr>
              <w:t>AI inference 수요가 GPU에서 ASIC로 전환 가속(NVIDIA 점유 50% 이하)</w:t>
            </w:r>
          </w:p>
        </w:tc>
        <w:tc>
          <w:tcPr>
            <w:tcW w:type="dxa" w:w="4535"/>
          </w:tcPr>
          <w:p>
            <w:pPr>
              <w:spacing w:line="300" w:lineRule="auto"/>
            </w:pPr>
            <w:r/>
            <w:r>
              <w:rPr>
                <w:rFonts w:ascii="맑은 고딕" w:hAnsi="맑은 고딕" w:eastAsia="맑은 고딕"/>
                <w:sz w:val="19"/>
              </w:rPr>
              <w:t>HBM 수요 자체 재평가 → 양 종목 장기 HOLD 유지/하향</w:t>
            </w:r>
          </w:p>
        </w:tc>
      </w:tr>
      <w:tr>
        <w:tc>
          <w:tcPr>
            <w:tcW w:type="dxa" w:w="5102"/>
          </w:tcPr>
          <w:p>
            <w:pPr>
              <w:spacing w:line="300" w:lineRule="auto"/>
            </w:pPr>
            <w:r/>
            <w:r>
              <w:rPr>
                <w:rFonts w:ascii="맑은 고딕" w:hAnsi="맑은 고딕" w:eastAsia="맑은 고딕"/>
                <w:sz w:val="19"/>
              </w:rPr>
              <w:t>B2B 도메인 특화 AI ARR이 빅테크 capex의 10% 초과로 확장</w:t>
            </w:r>
          </w:p>
        </w:tc>
        <w:tc>
          <w:tcPr>
            <w:tcW w:type="dxa" w:w="4535"/>
          </w:tcPr>
          <w:p>
            <w:pPr>
              <w:spacing w:line="300" w:lineRule="auto"/>
            </w:pPr>
            <w:r/>
            <w:r>
              <w:rPr>
                <w:rFonts w:ascii="맑은 고딕" w:hAnsi="맑은 고딕" w:eastAsia="맑은 고딕"/>
                <w:sz w:val="19"/>
              </w:rPr>
              <w:t>메모리 수요 2차 곡선 확정 → 양 종목 장기 BUY 상향</w:t>
            </w:r>
          </w:p>
        </w:tc>
      </w:tr>
    </w:tbl>
    <w:p/>
    <w:p>
      <w:r>
        <w:rPr>
          <w:rFonts w:ascii="맑은 고딕" w:hAnsi="맑은 고딕" w:eastAsia="맑은 고딕"/>
          <w:b/>
          <w:color w:val="1E326E"/>
          <w:sz w:val="26"/>
        </w:rPr>
        <w:t>10-4. Master 무효화 트리거 — 판단 전체를 뒤집을 수 있는 6가지</w:t>
      </w:r>
    </w:p>
    <w:p>
      <w:pPr>
        <w:pStyle w:val="ListBullet"/>
        <w:spacing w:after="60" w:line="312" w:lineRule="auto"/>
      </w:pPr>
      <w:r>
        <w:rPr>
          <w:rFonts w:ascii="맑은 고딕" w:hAnsi="맑은 고딕" w:eastAsia="맑은 고딕"/>
          <w:sz w:val="21"/>
        </w:rPr>
        <w:t>마이크론 차기 분기(2026-09)에서 DRAM ASP YoY 둔화율 -15%p 이상 가속 → 사이클 피크아웃 확정, SK·삼성 모두 SELL 전환.</w:t>
      </w:r>
    </w:p>
    <w:p>
      <w:pPr>
        <w:pStyle w:val="ListBullet"/>
        <w:spacing w:after="60" w:line="312" w:lineRule="auto"/>
      </w:pPr>
      <w:r>
        <w:rPr>
          <w:rFonts w:ascii="맑은 고딕" w:hAnsi="맑은 고딕" w:eastAsia="맑은 고딕"/>
          <w:sz w:val="21"/>
        </w:rPr>
        <w:t>NVIDIA Rubin HBM4에서 SK 점유율 50% 이하로 확정 → SK BUY 무효화, HOLD 하향.</w:t>
      </w:r>
    </w:p>
    <w:p>
      <w:pPr>
        <w:pStyle w:val="ListBullet"/>
        <w:spacing w:after="60" w:line="312" w:lineRule="auto"/>
      </w:pPr>
      <w:r>
        <w:rPr>
          <w:rFonts w:ascii="맑은 고딕" w:hAnsi="맑은 고딕" w:eastAsia="맑은 고딕"/>
          <w:sz w:val="21"/>
        </w:rPr>
        <w:t>Fed 9월 FOMC 추가 50bp 인상 + 2027 점도표 4.0% 이상 → 양 종목 트림 30%, HOLD 일괄 적용.</w:t>
      </w:r>
    </w:p>
    <w:p>
      <w:pPr>
        <w:pStyle w:val="ListBullet"/>
        <w:spacing w:after="60" w:line="312" w:lineRule="auto"/>
      </w:pPr>
      <w:r>
        <w:rPr>
          <w:rFonts w:ascii="맑은 고딕" w:hAnsi="맑은 고딕" w:eastAsia="맑은 고딕"/>
          <w:sz w:val="21"/>
        </w:rPr>
        <w:t>CXMT HBM3 양산 + 중국 내 점유 10% 돌파(2026 4Q) → 한국 3강 narrative 균열, 중장기 SELL 전환.</w:t>
      </w:r>
    </w:p>
    <w:p>
      <w:pPr>
        <w:pStyle w:val="ListBullet"/>
        <w:spacing w:after="60" w:line="312" w:lineRule="auto"/>
      </w:pPr>
      <w:r>
        <w:rPr>
          <w:rFonts w:ascii="맑은 고딕" w:hAnsi="맑은 고딕" w:eastAsia="맑은 고딕"/>
          <w:sz w:val="21"/>
        </w:rPr>
        <w:t>SK ADR 거래 개시 후 30일 평균 -10% 이상 dilution 지속 → ADR 재평가 가설 무효화, SK BUY → HOLD 하향.</w:t>
      </w:r>
    </w:p>
    <w:p>
      <w:pPr>
        <w:pStyle w:val="ListBullet"/>
        <w:spacing w:after="60" w:line="312" w:lineRule="auto"/>
      </w:pPr>
      <w:r>
        <w:rPr>
          <w:rFonts w:ascii="맑은 고딕" w:hAnsi="맑은 고딕" w:eastAsia="맑은 고딕"/>
          <w:sz w:val="21"/>
        </w:rPr>
        <w:t>빅테크 2027 capex 가이던스 YoY +50% 이하 하향 → AI 슈퍼사이클 가설 약화, 양 종목 중기 SELL.</w:t>
      </w:r>
    </w:p>
    <w:p>
      <w:r>
        <w:br w:type="page"/>
      </w:r>
    </w:p>
    <w:p>
      <w:r>
        <w:rPr>
          <w:rFonts w:ascii="맑은 고딕" w:hAnsi="맑은 고딕" w:eastAsia="맑은 고딕"/>
          <w:b/>
          <w:color w:val="1E326E"/>
          <w:sz w:val="32"/>
        </w:rPr>
        <w:t>11. 현재 시점 즉시 액션 권고</w:t>
      </w:r>
    </w:p>
    <w:p>
      <w:pPr>
        <w:spacing w:after="80" w:line="324" w:lineRule="auto"/>
      </w:pPr>
      <w:r>
        <w:rPr>
          <w:rFonts w:ascii="맑은 고딕" w:hAnsi="맑은 고딕" w:eastAsia="맑은 고딕"/>
          <w:b w:val="0"/>
          <w:i w:val="0"/>
          <w:sz w:val="21"/>
        </w:rPr>
        <w:t>전제: 사용자 포트폴리오 내 한국 반도체 목표 비중을 100으로 정규화한 가정입니다. 사용자 본인의 전체 자산 배분 내에서의 비중은 별도로 결정하셔야 합니다.</w:t>
      </w:r>
    </w:p>
    <w:tbl>
      <w:tblPr>
        <w:tblStyle w:val="LightGrid-Accent1"/>
        <w:tblW w:type="auto" w:w="0"/>
        <w:tblLook w:firstColumn="1" w:firstRow="1" w:lastColumn="0" w:lastRow="0" w:noHBand="0" w:noVBand="1" w:val="04A0"/>
      </w:tblPr>
      <w:tblGrid>
        <w:gridCol w:w="2493"/>
        <w:gridCol w:w="2493"/>
        <w:gridCol w:w="2493"/>
        <w:gridCol w:w="2493"/>
      </w:tblGrid>
      <w:tr>
        <w:tc>
          <w:tcPr>
            <w:tcW w:type="dxa" w:w="1587"/>
            <w:shd w:val="clear" w:color="auto" w:fill="1E3270"/>
          </w:tcPr>
          <w:p>
            <w:pPr>
              <w:jc w:val="center"/>
            </w:pPr>
            <w:r/>
            <w:r>
              <w:rPr>
                <w:rFonts w:ascii="맑은 고딕" w:hAnsi="맑은 고딕" w:eastAsia="맑은 고딕"/>
                <w:b/>
                <w:color w:val="FFFFFF"/>
                <w:sz w:val="20"/>
              </w:rPr>
              <w:t>종목</w:t>
            </w:r>
          </w:p>
        </w:tc>
        <w:tc>
          <w:tcPr>
            <w:tcW w:type="dxa" w:w="1701"/>
            <w:shd w:val="clear" w:color="auto" w:fill="1E3270"/>
          </w:tcPr>
          <w:p>
            <w:pPr>
              <w:jc w:val="center"/>
            </w:pPr>
            <w:r/>
            <w:r>
              <w:rPr>
                <w:rFonts w:ascii="맑은 고딕" w:hAnsi="맑은 고딕" w:eastAsia="맑은 고딕"/>
                <w:b/>
                <w:color w:val="FFFFFF"/>
                <w:sz w:val="20"/>
              </w:rPr>
              <w:t>현재 권고 비중</w:t>
            </w:r>
          </w:p>
        </w:tc>
        <w:tc>
          <w:tcPr>
            <w:tcW w:type="dxa" w:w="4252"/>
            <w:shd w:val="clear" w:color="auto" w:fill="1E3270"/>
          </w:tcPr>
          <w:p>
            <w:pPr>
              <w:jc w:val="center"/>
            </w:pPr>
            <w:r/>
            <w:r>
              <w:rPr>
                <w:rFonts w:ascii="맑은 고딕" w:hAnsi="맑은 고딕" w:eastAsia="맑은 고딕"/>
                <w:b/>
                <w:color w:val="FFFFFF"/>
                <w:sz w:val="20"/>
              </w:rPr>
              <w:t>분할 매수 단가</w:t>
            </w:r>
          </w:p>
        </w:tc>
        <w:tc>
          <w:tcPr>
            <w:tcW w:type="dxa" w:w="2098"/>
            <w:shd w:val="clear" w:color="auto" w:fill="1E3270"/>
          </w:tcPr>
          <w:p>
            <w:pPr>
              <w:jc w:val="center"/>
            </w:pPr>
            <w:r/>
            <w:r>
              <w:rPr>
                <w:rFonts w:ascii="맑은 고딕" w:hAnsi="맑은 고딕" w:eastAsia="맑은 고딕"/>
                <w:b/>
                <w:color w:val="FFFFFF"/>
                <w:sz w:val="20"/>
              </w:rPr>
              <w:t>트림 단가</w:t>
            </w:r>
          </w:p>
        </w:tc>
      </w:tr>
      <w:tr>
        <w:tc>
          <w:tcPr>
            <w:tcW w:type="dxa" w:w="1587"/>
          </w:tcPr>
          <w:p>
            <w:pPr>
              <w:spacing w:line="300" w:lineRule="auto"/>
            </w:pPr>
            <w:r/>
            <w:r>
              <w:rPr>
                <w:rFonts w:ascii="맑은 고딕" w:hAnsi="맑은 고딕" w:eastAsia="맑은 고딕"/>
                <w:sz w:val="19"/>
              </w:rPr>
              <w:t>SK하이닉스</w:t>
            </w:r>
          </w:p>
        </w:tc>
        <w:tc>
          <w:tcPr>
            <w:tcW w:type="dxa" w:w="1701"/>
          </w:tcPr>
          <w:p>
            <w:pPr>
              <w:spacing w:line="300" w:lineRule="auto"/>
            </w:pPr>
            <w:r/>
            <w:r>
              <w:rPr>
                <w:rFonts w:ascii="맑은 고딕" w:hAnsi="맑은 고딕" w:eastAsia="맑은 고딕"/>
                <w:sz w:val="19"/>
              </w:rPr>
              <w:t>55~60</w:t>
            </w:r>
          </w:p>
        </w:tc>
        <w:tc>
          <w:tcPr>
            <w:tcW w:type="dxa" w:w="4252"/>
          </w:tcPr>
          <w:p>
            <w:pPr>
              <w:spacing w:line="300" w:lineRule="auto"/>
            </w:pPr>
            <w:r/>
            <w:r>
              <w:rPr>
                <w:rFonts w:ascii="맑은 고딕" w:hAnsi="맑은 고딕" w:eastAsia="맑은 고딕"/>
                <w:sz w:val="19"/>
              </w:rPr>
              <w:t>1차 ₩2,673,000 즉시 30%, 2차 ₩2,500,000 30%, 3차 ₩2,300,000 25%, 예비 15%</w:t>
            </w:r>
          </w:p>
        </w:tc>
        <w:tc>
          <w:tcPr>
            <w:tcW w:type="dxa" w:w="2098"/>
          </w:tcPr>
          <w:p>
            <w:pPr>
              <w:spacing w:line="300" w:lineRule="auto"/>
            </w:pPr>
            <w:r/>
            <w:r>
              <w:rPr>
                <w:rFonts w:ascii="맑은 고딕" w:hAnsi="맑은 고딕" w:eastAsia="맑은 고딕"/>
                <w:sz w:val="19"/>
              </w:rPr>
              <w:t>₩4,000,000 +25% 트림 / ₩4,500,000 +25% 추가 트림</w:t>
            </w:r>
          </w:p>
        </w:tc>
      </w:tr>
      <w:tr>
        <w:tc>
          <w:tcPr>
            <w:tcW w:type="dxa" w:w="1587"/>
          </w:tcPr>
          <w:p>
            <w:pPr>
              <w:spacing w:line="300" w:lineRule="auto"/>
            </w:pPr>
            <w:r/>
            <w:r>
              <w:rPr>
                <w:rFonts w:ascii="맑은 고딕" w:hAnsi="맑은 고딕" w:eastAsia="맑은 고딕"/>
                <w:sz w:val="19"/>
              </w:rPr>
              <w:t>삼성전자</w:t>
            </w:r>
          </w:p>
        </w:tc>
        <w:tc>
          <w:tcPr>
            <w:tcW w:type="dxa" w:w="1701"/>
          </w:tcPr>
          <w:p>
            <w:pPr>
              <w:spacing w:line="300" w:lineRule="auto"/>
            </w:pPr>
            <w:r/>
            <w:r>
              <w:rPr>
                <w:rFonts w:ascii="맑은 고딕" w:hAnsi="맑은 고딕" w:eastAsia="맑은 고딕"/>
                <w:sz w:val="19"/>
              </w:rPr>
              <w:t>20~25 (보수적 HOLD)</w:t>
            </w:r>
          </w:p>
        </w:tc>
        <w:tc>
          <w:tcPr>
            <w:tcW w:type="dxa" w:w="4252"/>
          </w:tcPr>
          <w:p>
            <w:pPr>
              <w:spacing w:line="300" w:lineRule="auto"/>
            </w:pPr>
            <w:r/>
            <w:r>
              <w:rPr>
                <w:rFonts w:ascii="맑은 고딕" w:hAnsi="맑은 고딕" w:eastAsia="맑은 고딕"/>
                <w:sz w:val="19"/>
              </w:rPr>
              <w:t>신규 매수는 ₩290,000 이하부터 분할, ₩260,000 추가매수</w:t>
            </w:r>
          </w:p>
        </w:tc>
        <w:tc>
          <w:tcPr>
            <w:tcW w:type="dxa" w:w="2098"/>
          </w:tcPr>
          <w:p>
            <w:pPr>
              <w:spacing w:line="300" w:lineRule="auto"/>
            </w:pPr>
            <w:r/>
            <w:r>
              <w:rPr>
                <w:rFonts w:ascii="맑은 고딕" w:hAnsi="맑은 고딕" w:eastAsia="맑은 고딕"/>
                <w:sz w:val="19"/>
              </w:rPr>
              <w:t>₩400,000 +30% 트림</w:t>
            </w:r>
          </w:p>
        </w:tc>
      </w:tr>
      <w:tr>
        <w:tc>
          <w:tcPr>
            <w:tcW w:type="dxa" w:w="1587"/>
          </w:tcPr>
          <w:p>
            <w:pPr>
              <w:spacing w:line="300" w:lineRule="auto"/>
            </w:pPr>
            <w:r/>
            <w:r>
              <w:rPr>
                <w:rFonts w:ascii="맑은 고딕" w:hAnsi="맑은 고딕" w:eastAsia="맑은 고딕"/>
                <w:sz w:val="19"/>
              </w:rPr>
              <w:t>현금</w:t>
            </w:r>
          </w:p>
        </w:tc>
        <w:tc>
          <w:tcPr>
            <w:tcW w:type="dxa" w:w="1701"/>
          </w:tcPr>
          <w:p>
            <w:pPr>
              <w:spacing w:line="300" w:lineRule="auto"/>
            </w:pPr>
            <w:r/>
            <w:r>
              <w:rPr>
                <w:rFonts w:ascii="맑은 고딕" w:hAnsi="맑은 고딕" w:eastAsia="맑은 고딕"/>
                <w:sz w:val="19"/>
              </w:rPr>
              <w:t>20~25</w:t>
            </w:r>
          </w:p>
        </w:tc>
        <w:tc>
          <w:tcPr>
            <w:tcW w:type="dxa" w:w="4252"/>
          </w:tcPr>
          <w:p>
            <w:pPr>
              <w:spacing w:line="300" w:lineRule="auto"/>
            </w:pPr>
            <w:r/>
            <w:r>
              <w:rPr>
                <w:rFonts w:ascii="맑은 고딕" w:hAnsi="맑은 고딕" w:eastAsia="맑은 고딕"/>
                <w:sz w:val="19"/>
              </w:rPr>
              <w:t>KOSPI 추가 -5% 시 양 종목 분할에 우선 투입</w:t>
            </w:r>
          </w:p>
        </w:tc>
        <w:tc>
          <w:tcPr>
            <w:tcW w:type="dxa" w:w="2098"/>
          </w:tcPr>
          <w:p>
            <w:pPr>
              <w:spacing w:line="300" w:lineRule="auto"/>
            </w:pPr>
            <w:r/>
            <w:r>
              <w:rPr>
                <w:rFonts w:ascii="맑은 고딕" w:hAnsi="맑은 고딕" w:eastAsia="맑은 고딕"/>
                <w:sz w:val="19"/>
              </w:rPr>
              <w:t>—</w:t>
            </w:r>
          </w:p>
        </w:tc>
      </w:tr>
    </w:tbl>
    <w:p/>
    <w:p>
      <w:r>
        <w:rPr>
          <w:rFonts w:ascii="맑은 고딕" w:hAnsi="맑은 고딕" w:eastAsia="맑은 고딕"/>
          <w:b/>
          <w:color w:val="1E326E"/>
          <w:sz w:val="26"/>
        </w:rPr>
        <w:t>11-1. 세부 가이드</w:t>
      </w:r>
    </w:p>
    <w:p>
      <w:pPr>
        <w:pStyle w:val="ListBullet"/>
        <w:spacing w:after="60" w:line="312" w:lineRule="auto"/>
      </w:pPr>
      <w:r>
        <w:rPr>
          <w:rFonts w:ascii="맑은 고딕" w:hAnsi="맑은 고딕" w:eastAsia="맑은 고딕"/>
          <w:b/>
          <w:sz w:val="21"/>
        </w:rPr>
        <w:t xml:space="preserve">SK하이닉스: </w:t>
      </w:r>
      <w:r>
        <w:rPr>
          <w:rFonts w:ascii="맑은 고딕" w:hAnsi="맑은 고딕" w:eastAsia="맑은 고딕"/>
          <w:sz w:val="21"/>
        </w:rPr>
        <w:t xml:space="preserve"> ADR 거래 개시(7/10) 전후 변동성 대비, 7/10 ±2주 구간에서 신규 진입 30%는 보류하고 거래 개시 후 가격 안정 확인 권고.</w:t>
      </w:r>
    </w:p>
    <w:p>
      <w:pPr>
        <w:pStyle w:val="ListBullet"/>
        <w:spacing w:after="60" w:line="312" w:lineRule="auto"/>
      </w:pPr>
      <w:r>
        <w:rPr>
          <w:rFonts w:ascii="맑은 고딕" w:hAnsi="맑은 고딕" w:eastAsia="맑은 고딕"/>
          <w:b/>
          <w:sz w:val="21"/>
        </w:rPr>
        <w:t xml:space="preserve">삼성전자: </w:t>
      </w:r>
      <w:r>
        <w:rPr>
          <w:rFonts w:ascii="맑은 고딕" w:hAnsi="맑은 고딕" w:eastAsia="맑은 고딕"/>
          <w:sz w:val="21"/>
        </w:rPr>
        <w:t xml:space="preserve"> 적극적 매수는 비권장. HBM3E 12-Hi NVIDIA 메인 라인 배정 + HBM4 25% 이상 배정 확인 후 비중 30~35로 상향 가능.</w:t>
      </w:r>
    </w:p>
    <w:p>
      <w:pPr>
        <w:pStyle w:val="ListBullet"/>
        <w:spacing w:after="60" w:line="312" w:lineRule="auto"/>
      </w:pPr>
      <w:r>
        <w:rPr>
          <w:rFonts w:ascii="맑은 고딕" w:hAnsi="맑은 고딕" w:eastAsia="맑은 고딕"/>
          <w:b/>
          <w:sz w:val="21"/>
        </w:rPr>
        <w:t xml:space="preserve">트림 트리거: </w:t>
      </w:r>
      <w:r>
        <w:rPr>
          <w:rFonts w:ascii="맑은 고딕" w:hAnsi="맑은 고딕" w:eastAsia="맑은 고딕"/>
          <w:sz w:val="21"/>
        </w:rPr>
        <w:t xml:space="preserve"> 10장의 단기·중기 트리거 발생 시 즉시 비중 조정. 5개 즉시 트림 트리거 중 2개 동시 발생 시 양 종목 30% 일괄 트림.</w:t>
      </w:r>
    </w:p>
    <w:p>
      <w:r>
        <w:rPr>
          <w:rFonts w:ascii="맑은 고딕" w:hAnsi="맑은 고딕" w:eastAsia="맑은 고딕"/>
          <w:b/>
          <w:color w:val="1E326E"/>
          <w:sz w:val="26"/>
        </w:rPr>
        <w:t>11-2. 투자 시계와 frame 선택</w:t>
      </w:r>
    </w:p>
    <w:p>
      <w:pPr>
        <w:spacing w:after="80" w:line="324" w:lineRule="auto"/>
      </w:pPr>
      <w:r>
        <w:rPr>
          <w:rFonts w:ascii="맑은 고딕" w:hAnsi="맑은 고딕" w:eastAsia="맑은 고딕"/>
          <w:b w:val="0"/>
          <w:i w:val="0"/>
          <w:sz w:val="21"/>
        </w:rPr>
        <w:t>본 보고서는 단기·중기·장기 시계에 대해 사이클 베팅 frame과 가치투자 frame을 모두 제공했습니다. 두 frame은 상충하지 않으며 시계가 다를 뿐입니다. 사용자의 투자 시계가 단기·중기라면 사이클 frame이 dominant 하며, 장기 영구보유라면 가치투자 frame이 dominant 합니다. 자기 투자 철학과 시계에 맞는 frame을 선택해 행동하시기 바랍니다.</w:t>
      </w:r>
    </w:p>
    <w:p>
      <w:r>
        <w:br w:type="page"/>
      </w:r>
    </w:p>
    <w:p>
      <w:r>
        <w:rPr>
          <w:rFonts w:ascii="맑은 고딕" w:hAnsi="맑은 고딕" w:eastAsia="맑은 고딕"/>
          <w:b/>
          <w:color w:val="1E326E"/>
          <w:sz w:val="32"/>
        </w:rPr>
        <w:t>12. 면책 및 출처</w:t>
      </w:r>
    </w:p>
    <w:p>
      <w:r>
        <w:rPr>
          <w:rFonts w:ascii="맑은 고딕" w:hAnsi="맑은 고딕" w:eastAsia="맑은 고딕"/>
          <w:b/>
          <w:color w:val="1E326E"/>
          <w:sz w:val="26"/>
        </w:rPr>
        <w:t>12-1. 핵심 출처</w:t>
      </w:r>
    </w:p>
    <w:p>
      <w:pPr>
        <w:pStyle w:val="ListBullet"/>
        <w:spacing w:after="60" w:line="312" w:lineRule="auto"/>
      </w:pPr>
      <w:r>
        <w:rPr>
          <w:rFonts w:ascii="맑은 고딕" w:hAnsi="맑은 고딕" w:eastAsia="맑은 고딕"/>
          <w:sz w:val="21"/>
        </w:rPr>
        <w:t>Federal Reserve FOMC Statement 2026-06-17, Fed SEP — federalreserve.gov</w:t>
      </w:r>
    </w:p>
    <w:p>
      <w:pPr>
        <w:pStyle w:val="ListBullet"/>
        <w:spacing w:after="60" w:line="312" w:lineRule="auto"/>
      </w:pPr>
      <w:r>
        <w:rPr>
          <w:rFonts w:ascii="맑은 고딕" w:hAnsi="맑은 고딕" w:eastAsia="맑은 고딕"/>
          <w:sz w:val="21"/>
        </w:rPr>
        <w:t>한국은행 통화정책방향 보도자료 — bok.or.kr</w:t>
      </w:r>
    </w:p>
    <w:p>
      <w:pPr>
        <w:pStyle w:val="ListBullet"/>
        <w:spacing w:after="60" w:line="312" w:lineRule="auto"/>
      </w:pPr>
      <w:r>
        <w:rPr>
          <w:rFonts w:ascii="맑은 고딕" w:hAnsi="맑은 고딕" w:eastAsia="맑은 고딕"/>
          <w:sz w:val="21"/>
        </w:rPr>
        <w:t>TrendForce 1Q26 DRAM Revenue Report, HBM Market Share — trendforce.com</w:t>
      </w:r>
    </w:p>
    <w:p>
      <w:pPr>
        <w:pStyle w:val="ListBullet"/>
        <w:spacing w:after="60" w:line="312" w:lineRule="auto"/>
      </w:pPr>
      <w:r>
        <w:rPr>
          <w:rFonts w:ascii="맑은 고딕" w:hAnsi="맑은 고딕" w:eastAsia="맑은 고딕"/>
          <w:sz w:val="21"/>
        </w:rPr>
        <w:t>산업통상자원부 2026년 5월 수출입동향</w:t>
      </w:r>
    </w:p>
    <w:p>
      <w:pPr>
        <w:pStyle w:val="ListBullet"/>
        <w:spacing w:after="60" w:line="312" w:lineRule="auto"/>
      </w:pPr>
      <w:r>
        <w:rPr>
          <w:rFonts w:ascii="맑은 고딕" w:hAnsi="맑은 고딕" w:eastAsia="맑은 고딕"/>
          <w:sz w:val="21"/>
        </w:rPr>
        <w:t>SK하이닉스 1Q26 실적공시 및 2026-06-24 이사회 결의 ADR 발행 공식 발표 — DART, KIND, news.skhynix.co.kr</w:t>
      </w:r>
    </w:p>
    <w:p>
      <w:pPr>
        <w:pStyle w:val="ListBullet"/>
        <w:spacing w:after="60" w:line="312" w:lineRule="auto"/>
      </w:pPr>
      <w:r>
        <w:rPr>
          <w:rFonts w:ascii="맑은 고딕" w:hAnsi="맑은 고딕" w:eastAsia="맑은 고딕"/>
          <w:sz w:val="21"/>
        </w:rPr>
        <w:t>Samsung Electronics 1Q26 Earnings — news.samsung.com</w:t>
      </w:r>
    </w:p>
    <w:p>
      <w:pPr>
        <w:pStyle w:val="ListBullet"/>
        <w:spacing w:after="60" w:line="312" w:lineRule="auto"/>
      </w:pPr>
      <w:r>
        <w:rPr>
          <w:rFonts w:ascii="맑은 고딕" w:hAnsi="맑은 고딕" w:eastAsia="맑은 고딕"/>
          <w:sz w:val="21"/>
        </w:rPr>
        <w:t>Micron FY26 Q3 Earnings Call Transcript &amp; IR Materials — investors.micron.com, SEC EDGAR</w:t>
      </w:r>
    </w:p>
    <w:p>
      <w:pPr>
        <w:pStyle w:val="ListBullet"/>
        <w:spacing w:after="60" w:line="312" w:lineRule="auto"/>
      </w:pPr>
      <w:r>
        <w:rPr>
          <w:rFonts w:ascii="맑은 고딕" w:hAnsi="맑은 고딕" w:eastAsia="맑은 고딕"/>
          <w:sz w:val="21"/>
        </w:rPr>
        <w:t>CNBC, Quartz, TechTimes — SK Hynix Nasdaq ADR Listing Coverage (2026-06-24~25)</w:t>
      </w:r>
    </w:p>
    <w:p>
      <w:pPr>
        <w:pStyle w:val="ListBullet"/>
        <w:spacing w:after="60" w:line="312" w:lineRule="auto"/>
      </w:pPr>
      <w:r>
        <w:rPr>
          <w:rFonts w:ascii="맑은 고딕" w:hAnsi="맑은 고딕" w:eastAsia="맑은 고딕"/>
          <w:sz w:val="21"/>
        </w:rPr>
        <w:t>Bloomberg, Reuters, FT, CNN, Nikkei — Korean Memory Stocks Coverage</w:t>
      </w:r>
    </w:p>
    <w:p>
      <w:pPr>
        <w:pStyle w:val="ListBullet"/>
        <w:spacing w:after="60" w:line="312" w:lineRule="auto"/>
      </w:pPr>
      <w:r>
        <w:rPr>
          <w:rFonts w:ascii="맑은 고딕" w:hAnsi="맑은 고딕" w:eastAsia="맑은 고딕"/>
          <w:sz w:val="21"/>
        </w:rPr>
        <w:t>Morgan Stanley SK Hynix Overweight Note 2026-06 — Investing.com 인용</w:t>
      </w:r>
    </w:p>
    <w:p>
      <w:pPr>
        <w:pStyle w:val="ListBullet"/>
        <w:spacing w:after="60" w:line="312" w:lineRule="auto"/>
      </w:pPr>
      <w:r>
        <w:rPr>
          <w:rFonts w:ascii="맑은 고딕" w:hAnsi="맑은 고딕" w:eastAsia="맑은 고딕"/>
          <w:sz w:val="21"/>
        </w:rPr>
        <w:t>한국투자증권 계량 주보 — 외국인 매매동향</w:t>
      </w:r>
    </w:p>
    <w:p>
      <w:pPr>
        <w:pStyle w:val="ListBullet"/>
        <w:spacing w:after="60" w:line="312" w:lineRule="auto"/>
      </w:pPr>
      <w:r>
        <w:rPr>
          <w:rFonts w:ascii="맑은 고딕" w:hAnsi="맑은 고딕" w:eastAsia="맑은 고딕"/>
          <w:sz w:val="21"/>
        </w:rPr>
        <w:t>KRX 정보데이터시스템 — data.krx.co.kr, 외국인 일별 매매동향</w:t>
      </w:r>
    </w:p>
    <w:p>
      <w:pPr>
        <w:pStyle w:val="ListBullet"/>
        <w:spacing w:after="60" w:line="312" w:lineRule="auto"/>
      </w:pPr>
      <w:r>
        <w:rPr>
          <w:rFonts w:ascii="맑은 고딕" w:hAnsi="맑은 고딕" w:eastAsia="맑은 고딕"/>
          <w:sz w:val="21"/>
        </w:rPr>
        <w:t>Korea Times, 경향신문, 머니투데이, 파이낸셜뉴스, 뉴데일리경제, 한경, 매경 — 한국 경제지 보도</w:t>
      </w:r>
    </w:p>
    <w:p>
      <w:pPr>
        <w:pStyle w:val="ListBullet"/>
        <w:spacing w:after="60" w:line="312" w:lineRule="auto"/>
      </w:pPr>
      <w:r>
        <w:rPr>
          <w:rFonts w:ascii="맑은 고딕" w:hAnsi="맑은 고딕" w:eastAsia="맑은 고딕"/>
          <w:sz w:val="21"/>
        </w:rPr>
        <w:t>UBS, Counterpoint Research — HBM4 NVIDIA Rubin 배분 추정</w:t>
      </w:r>
    </w:p>
    <w:p>
      <w:pPr>
        <w:pStyle w:val="ListBullet"/>
        <w:spacing w:after="60" w:line="312" w:lineRule="auto"/>
      </w:pPr>
      <w:r>
        <w:rPr>
          <w:rFonts w:ascii="맑은 고딕" w:hAnsi="맑은 고딕" w:eastAsia="맑은 고딕"/>
          <w:sz w:val="21"/>
        </w:rPr>
        <w:t>MSCI Market Classification Review 2026-06-23 — msci.com</w:t>
      </w:r>
    </w:p>
    <w:p>
      <w:pPr>
        <w:pStyle w:val="ListBullet"/>
        <w:spacing w:after="60" w:line="312" w:lineRule="auto"/>
      </w:pPr>
      <w:r>
        <w:rPr>
          <w:rFonts w:ascii="맑은 고딕" w:hAnsi="맑은 고딕" w:eastAsia="맑은 고딕"/>
          <w:sz w:val="21"/>
        </w:rPr>
        <w:t>Salesforce, ServiceNow, Palantir Investor Relations — Enterprise AI ARR</w:t>
      </w:r>
    </w:p>
    <w:p>
      <w:pPr>
        <w:pStyle w:val="ListBullet"/>
        <w:spacing w:after="60" w:line="312" w:lineRule="auto"/>
      </w:pPr>
      <w:r>
        <w:rPr>
          <w:rFonts w:ascii="맑은 고딕" w:hAnsi="맑은 고딕" w:eastAsia="맑은 고딕"/>
          <w:sz w:val="21"/>
        </w:rPr>
        <w:t>U.S. BIS Export Control Regulations — bis.doc.gov</w:t>
      </w:r>
    </w:p>
    <w:p>
      <w:pPr>
        <w:pStyle w:val="ListBullet"/>
        <w:spacing w:after="60" w:line="312" w:lineRule="auto"/>
      </w:pPr>
      <w:r>
        <w:rPr>
          <w:rFonts w:ascii="맑은 고딕" w:hAnsi="맑은 고딕" w:eastAsia="맑은 고딕"/>
          <w:sz w:val="21"/>
        </w:rPr>
        <w:t>OpenAI, The National — Stargate UAE</w:t>
      </w:r>
    </w:p>
    <w:p>
      <w:pPr>
        <w:pStyle w:val="ListBullet"/>
        <w:spacing w:after="60" w:line="312" w:lineRule="auto"/>
      </w:pPr>
      <w:r>
        <w:rPr>
          <w:rFonts w:ascii="맑은 고딕" w:hAnsi="맑은 고딕" w:eastAsia="맑은 고딕"/>
          <w:sz w:val="21"/>
        </w:rPr>
        <w:t>alphasquare, Investing.com, Reuters/TradingView — 일별 종가 시세 (다중 출처 교차 검증)</w:t>
      </w:r>
    </w:p>
    <w:p>
      <w:r>
        <w:rPr>
          <w:rFonts w:ascii="맑은 고딕" w:hAnsi="맑은 고딕" w:eastAsia="맑은 고딕"/>
          <w:b/>
          <w:color w:val="1E326E"/>
          <w:sz w:val="26"/>
        </w:rPr>
        <w:t>12-2. 면책</w:t>
      </w:r>
    </w:p>
    <w:p>
      <w:pPr>
        <w:spacing w:after="80" w:line="324" w:lineRule="auto"/>
      </w:pPr>
      <w:r>
        <w:rPr>
          <w:rFonts w:ascii="맑은 고딕" w:hAnsi="맑은 고딕" w:eastAsia="맑은 고딕"/>
          <w:b w:val="0"/>
          <w:i w:val="0"/>
          <w:sz w:val="21"/>
        </w:rPr>
        <w:t>본 분석은 정보 제공 목적이며 인가받은 투자 자문이 아닙니다. 모든 정량 수치는 가능한 한 1차 출처를 인용했으나 환경 제약상 일부 항목은 2차 보도에 의존했으며, 데이터 부재 항목은 본문에서 "확인 불가"로 명시했습니다. 내재가치 추정치는 보수적 가정에 기반한 정성적 평가이며 실제 시장가와 큰 괴리가 있을 수 있습니다. 조건부 트리거의 확률 가중치는 리스크 관리 관점의 정성적 평가이며 결정론적 예측이 아닙니다. 최종 매수·매도 결정과 그 책임은 사용자에게 있습니다.</w:t>
      </w:r>
    </w:p>
    <w:p>
      <w:pPr>
        <w:spacing w:after="80" w:line="324" w:lineRule="auto"/>
      </w:pPr>
      <w:r>
        <w:rPr>
          <w:rFonts w:ascii="맑은 고딕" w:hAnsi="맑은 고딕" w:eastAsia="맑은 고딕"/>
          <w:b w:val="0"/>
          <w:i w:val="0"/>
          <w:sz w:val="20"/>
        </w:rPr>
        <w:t xml:space="preserve"> </w:t>
      </w:r>
    </w:p>
    <w:p>
      <w:pPr>
        <w:spacing w:after="80" w:line="324" w:lineRule="auto"/>
      </w:pPr>
      <w:r>
        <w:rPr>
          <w:rFonts w:ascii="맑은 고딕" w:hAnsi="맑은 고딕" w:eastAsia="맑은 고딕"/>
          <w:b w:val="0"/>
          <w:i/>
          <w:sz w:val="22"/>
        </w:rPr>
        <w:t xml:space="preserve">  — 보고서 끝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