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CFF"/>
          <w:spacing w:val="20"/>
          <w:sz w:val="18"/>
          <w:szCs w:val="18"/>
        </w:rPr>
        <w:t xml:space="preserve">RELEASE NOTES</w:t>
      </w:r>
    </w:p>
    <w:p>
      <w:pPr>
        <w:spacing w:after="100"/>
      </w:pPr>
      <w:r>
        <w:rPr>
          <w:b/>
          <w:bCs/>
          <w:color w:val="0E0F13"/>
          <w:sz w:val="44"/>
          <w:szCs w:val="44"/>
        </w:rPr>
        <w:t xml:space="preserve">Post Pipeline</w:t>
      </w:r>
    </w:p>
    <w:p>
      <w:pPr>
        <w:spacing w:after="60"/>
      </w:pPr>
      <w:r>
        <w:rPr>
          <w:i/>
          <w:iCs/>
          <w:color w:val="5B6270"/>
          <w:sz w:val="22"/>
          <w:szCs w:val="22"/>
        </w:rPr>
        <w:t xml:space="preserve">The tracker grows from a single-laptop demo into a real team tool — sign-in, a shared live board, a friendlier timeline, and a workspace that’s actually yours to arrange.</w:t>
      </w:r>
    </w:p>
    <w:p>
      <w:pPr>
        <w:pBdr>
          <w:bottom w:val="single" w:color="14161C" w:sz="6" w:space="8"/>
        </w:pBdr>
        <w:spacing w:after="200"/>
      </w:pPr>
      <w:r>
        <w:rPr>
          <w:b/>
          <w:bCs/>
          <w:color w:val="8A8F9C"/>
          <w:sz w:val="18"/>
          <w:szCs w:val="18"/>
        </w:rPr>
        <w:t xml:space="preserve">Phase 2–3 · July 2026</w:t>
      </w:r>
    </w:p>
    <w:p>
      <w:pPr>
        <w:pStyle w:val="Heading1"/>
        <w:pBdr>
          <w:bottom w:val="single" w:color="E4E5EA" w:sz="4" w:space="6"/>
        </w:pBdr>
        <w:spacing w:after="160" w:before="420"/>
      </w:pPr>
      <w:r>
        <w:rPr>
          <w:b/>
          <w:bCs/>
          <w:color w:val="14161C"/>
          <w:sz w:val="27"/>
          <w:szCs w:val="27"/>
        </w:rPr>
        <w:t xml:space="preserve">Sign in, and the board is shared</w:t>
      </w:r>
      <w:r>
        <w:t xml:space="preserve">   </w:t>
      </w:r>
      <w:r>
        <w:rPr>
          <w:b/>
          <w:bCs/>
          <w:color w:val="FFFFFF"/>
          <w:sz w:val="15"/>
          <w:szCs w:val="15"/>
          <w:shd w:fill="00A65A" w:val="clear"/>
        </w:rPr>
        <w:t xml:space="preserve">  NEW  </w:t>
      </w:r>
    </w:p>
    <w:p>
      <w:pPr>
        <w:pStyle w:val="Heading2"/>
        <w:spacing w:after="60" w:before="220"/>
      </w:pPr>
      <w:r>
        <w:rPr>
          <w:b/>
          <w:bCs/>
          <w:color w:val="14161C"/>
          <w:sz w:val="22"/>
          <w:szCs w:val="22"/>
        </w:rPr>
        <w:t xml:space="preserve">A real backend</w:t>
      </w:r>
    </w:p>
    <w:p>
      <w:pPr>
        <w:spacing w:after="120"/>
      </w:pPr>
      <w:r>
        <w:rPr>
          <w:color w:val="2C2E36"/>
          <w:sz w:val="21"/>
          <w:szCs w:val="21"/>
        </w:rPr>
        <w:t xml:space="preserve">The app now runs from a small Node server on your laptop — node server.js — instead of living only in one browser’s storage. Teammates on the same network open your laptop’s address and see the same board, live.</w:t>
      </w:r>
    </w:p>
    <w:p>
      <w:pPr>
        <w:pStyle w:val="Heading2"/>
        <w:spacing w:after="60" w:before="220"/>
      </w:pPr>
      <w:r>
        <w:rPr>
          <w:b/>
          <w:bCs/>
          <w:color w:val="14161C"/>
          <w:sz w:val="22"/>
          <w:szCs w:val="22"/>
        </w:rPr>
        <w:t xml:space="preserve">Google sign-in (with a fallback)</w:t>
      </w:r>
    </w:p>
    <w:p>
      <w:pPr>
        <w:spacing w:after="120"/>
      </w:pPr>
      <w:r>
        <w:rPr>
          <w:color w:val="2C2E36"/>
          <w:sz w:val="21"/>
          <w:szCs w:val="21"/>
        </w:rPr>
        <w:t xml:space="preserve">Google Workspace SSO is wired in and restricted to your domain — flip it on by dropping a Client ID/secret into server-config.json. Until then, a lightweight email sign-in keeps things moving.</w:t>
      </w:r>
    </w:p>
    <w:p>
      <w:pPr>
        <w:pStyle w:val="Heading2"/>
        <w:spacing w:after="60" w:before="220"/>
      </w:pPr>
      <w:r>
        <w:rPr>
          <w:b/>
          <w:bCs/>
          <w:color w:val="14161C"/>
          <w:sz w:val="22"/>
          <w:szCs w:val="22"/>
        </w:rPr>
        <w:t xml:space="preserve">Your role finds you automatically</w:t>
      </w:r>
    </w:p>
    <w:p>
      <w:pPr>
        <w:spacing w:after="120"/>
      </w:pPr>
      <w:r>
        <w:rPr>
          <w:color w:val="2C2E36"/>
          <w:sz w:val="21"/>
          <w:szCs w:val="21"/>
        </w:rPr>
        <w:t xml:space="preserve">Sign-in email is matched against the team directory, so everyone lands straight on their own department board with the right permissions — no manual role picking. Admins keep a “view as” switch for testing.</w:t>
      </w:r>
    </w:p>
    <w:p>
      <w:pPr>
        <w:pStyle w:val="Heading1"/>
        <w:pBdr>
          <w:bottom w:val="single" w:color="E4E5EA" w:sz="4" w:space="6"/>
        </w:pBdr>
        <w:spacing w:after="160" w:before="420"/>
      </w:pPr>
      <w:r>
        <w:rPr>
          <w:b/>
          <w:bCs/>
          <w:color w:val="14161C"/>
          <w:sz w:val="27"/>
          <w:szCs w:val="27"/>
        </w:rPr>
        <w:t xml:space="preserve">Admin, reorganized</w:t>
      </w:r>
      <w:r>
        <w:t xml:space="preserve">   </w:t>
      </w:r>
      <w:r>
        <w:rPr>
          <w:b/>
          <w:bCs/>
          <w:color w:val="FFFFFF"/>
          <w:sz w:val="15"/>
          <w:szCs w:val="15"/>
          <w:shd w:fill="5B6CFF" w:val="clear"/>
        </w:rPr>
        <w:t xml:space="preserve">  IMPROVED  </w:t>
      </w:r>
    </w:p>
    <w:p>
      <w:pPr>
        <w:pStyle w:val="Heading2"/>
        <w:spacing w:after="60" w:before="220"/>
      </w:pPr>
      <w:r>
        <w:rPr>
          <w:b/>
          <w:bCs/>
          <w:color w:val="14161C"/>
          <w:sz w:val="22"/>
          <w:szCs w:val="22"/>
        </w:rPr>
        <w:t xml:space="preserve">A proper hub</w:t>
      </w:r>
    </w:p>
    <w:p>
      <w:pPr>
        <w:spacing w:after="120"/>
      </w:pPr>
      <w:r>
        <w:rPr>
          <w:color w:val="2C2E36"/>
          <w:sz w:val="21"/>
          <w:szCs w:val="21"/>
        </w:rPr>
        <w:t xml:space="preserve">Admin opens to a set of module cards — User Directory, Access Control, with Workflow Settings and Audit Logs staged for later — instead of one long page.</w:t>
      </w:r>
    </w:p>
    <w:p>
      <w:pPr>
        <w:pStyle w:val="Heading2"/>
        <w:spacing w:after="60" w:before="220"/>
      </w:pPr>
      <w:r>
        <w:rPr>
          <w:b/>
          <w:bCs/>
          <w:color w:val="14161C"/>
          <w:sz w:val="22"/>
          <w:szCs w:val="22"/>
        </w:rPr>
        <w:t xml:space="preserve">User Directory</w:t>
      </w:r>
    </w:p>
    <w:p>
      <w:pPr>
        <w:spacing w:after="120"/>
      </w:pPr>
      <w:r>
        <w:rPr>
          <w:color w:val="2C2E36"/>
          <w:sz w:val="21"/>
          <w:szCs w:val="21"/>
        </w:rPr>
        <w:t xml:space="preserve">Inline row editing, live task-load bars, work email per person, and placeholder Slack/Gmail connection icons for the SSO invite flow to come.</w:t>
      </w:r>
    </w:p>
    <w:p>
      <w:pPr>
        <w:pStyle w:val="Heading2"/>
        <w:spacing w:after="60" w:before="220"/>
      </w:pPr>
      <w:r>
        <w:rPr>
          <w:b/>
          <w:bCs/>
          <w:color w:val="14161C"/>
          <w:sz w:val="22"/>
          <w:szCs w:val="22"/>
        </w:rPr>
        <w:t xml:space="preserve">Access Control</w:t>
      </w:r>
    </w:p>
    <w:p>
      <w:pPr>
        <w:spacing w:after="120"/>
      </w:pPr>
      <w:r>
        <w:rPr>
          <w:color w:val="2C2E36"/>
          <w:sz w:val="21"/>
          <w:szCs w:val="21"/>
        </w:rPr>
        <w:t xml:space="preserve">Per-role toggle switches for approving tasks, assigning owners, managing shows, and admin access — Producer stays un-lockable by design.</w:t>
      </w:r>
    </w:p>
    <w:p>
      <w:pPr>
        <w:pStyle w:val="Heading1"/>
        <w:pBdr>
          <w:bottom w:val="single" w:color="E4E5EA" w:sz="4" w:space="6"/>
        </w:pBdr>
        <w:spacing w:after="160" w:before="420"/>
      </w:pPr>
      <w:r>
        <w:rPr>
          <w:b/>
          <w:bCs/>
          <w:color w:val="14161C"/>
          <w:sz w:val="27"/>
          <w:szCs w:val="27"/>
        </w:rPr>
        <w:t xml:space="preserve">Timeline, rebuilt for daily use</w:t>
      </w:r>
      <w:r>
        <w:t xml:space="preserve">   </w:t>
      </w:r>
      <w:r>
        <w:rPr>
          <w:b/>
          <w:bCs/>
          <w:color w:val="FFFFFF"/>
          <w:sz w:val="15"/>
          <w:szCs w:val="15"/>
          <w:shd w:fill="5B6CFF" w:val="clear"/>
        </w:rPr>
        <w:t xml:space="preserve">  IMPROVED  </w:t>
      </w:r>
    </w:p>
    <w:p>
      <w:pPr>
        <w:pStyle w:val="Heading2"/>
        <w:spacing w:after="60" w:before="220"/>
      </w:pPr>
      <w:r>
        <w:rPr>
          <w:b/>
          <w:bCs/>
          <w:color w:val="14161C"/>
          <w:sz w:val="22"/>
          <w:szCs w:val="22"/>
        </w:rPr>
        <w:t xml:space="preserve">Compact by default</w:t>
      </w:r>
    </w:p>
    <w:p>
      <w:pPr>
        <w:spacing w:after="120"/>
      </w:pPr>
      <w:r>
        <w:rPr>
          <w:color w:val="2C2E36"/>
          <w:sz w:val="21"/>
          <w:szCs w:val="21"/>
        </w:rPr>
        <w:t xml:space="preserve">Rows, headers, and bars all sized down without losing the show-colour gradients and status dots that make the chart readable at a glance.</w:t>
      </w:r>
    </w:p>
    <w:p>
      <w:pPr>
        <w:pStyle w:val="Heading2"/>
        <w:spacing w:after="60" w:before="220"/>
      </w:pPr>
      <w:r>
        <w:rPr>
          <w:b/>
          <w:bCs/>
          <w:color w:val="14161C"/>
          <w:sz w:val="22"/>
          <w:szCs w:val="22"/>
        </w:rPr>
        <w:t xml:space="preserve">Three ways to sort</w:t>
      </w:r>
    </w:p>
    <w:p>
      <w:pPr>
        <w:spacing w:after="120"/>
      </w:pPr>
      <w:r>
        <w:rPr>
          <w:color w:val="2C2E36"/>
          <w:sz w:val="21"/>
          <w:szCs w:val="21"/>
        </w:rPr>
        <w:t xml:space="preserve">Switch views from the ⚙ preferences menu next to the logo: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E36"/>
          <w:sz w:val="21"/>
          <w:szCs w:val="21"/>
        </w:rPr>
        <w:t xml:space="preserve">Episode — tasks grouped into department phase-spans, with parallel work stacked on shared rows (modelled on the studio’s wall planner)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E36"/>
          <w:sz w:val="21"/>
          <w:szCs w:val="21"/>
        </w:rPr>
        <w:t xml:space="preserve">Department — one row per task, in pipeline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E36"/>
          <w:sz w:val="21"/>
          <w:szCs w:val="21"/>
        </w:rPr>
        <w:t xml:space="preserve">Show — matching tasks across a show’s episodes share a line</w:t>
      </w:r>
    </w:p>
    <w:p>
      <w:pPr>
        <w:pStyle w:val="Heading2"/>
        <w:spacing w:after="60" w:before="220"/>
      </w:pPr>
      <w:r>
        <w:rPr>
          <w:b/>
          <w:bCs/>
          <w:color w:val="14161C"/>
          <w:sz w:val="22"/>
          <w:szCs w:val="22"/>
        </w:rPr>
        <w:t xml:space="preserve">Drag to reschedule</w:t>
      </w:r>
    </w:p>
    <w:p>
      <w:pPr>
        <w:spacing w:after="120"/>
      </w:pPr>
      <w:r>
        <w:rPr>
          <w:color w:val="2C2E36"/>
          <w:sz w:val="21"/>
          <w:szCs w:val="21"/>
        </w:rPr>
        <w:t xml:space="preserve">Grab the middle of any task bar to move it, or its edge to resize — small grip tabs appear right on the edge on hover. Every adjustment respects the task’s minimum duration (hard limit) and warns if it now conflicts with a dependency (soft — still applies, but flagged).</w:t>
      </w:r>
    </w:p>
    <w:p>
      <w:pPr>
        <w:spacing w:after="120"/>
      </w:pPr>
      <w:r>
        <w:rPr>
          <w:i/>
          <w:iCs/>
          <w:color w:val="8A8F9C"/>
          <w:sz w:val="19"/>
          <w:szCs w:val="19"/>
        </w:rPr>
        <w:t xml:space="preserve">Also in this release: hide weekends · latch scrolling · scroll settle-to-row · a single frontmost tooltip at a time.</w:t>
      </w:r>
    </w:p>
    <w:p>
      <w:pPr>
        <w:pStyle w:val="Heading1"/>
        <w:pBdr>
          <w:bottom w:val="single" w:color="E4E5EA" w:sz="4" w:space="6"/>
        </w:pBdr>
        <w:spacing w:after="160" w:before="420"/>
      </w:pPr>
      <w:r>
        <w:rPr>
          <w:b/>
          <w:bCs/>
          <w:color w:val="14161C"/>
          <w:sz w:val="27"/>
          <w:szCs w:val="27"/>
        </w:rPr>
        <w:t xml:space="preserve">A dashboard you can rearrange</w:t>
      </w:r>
      <w:r>
        <w:t xml:space="preserve">   </w:t>
      </w:r>
      <w:r>
        <w:rPr>
          <w:b/>
          <w:bCs/>
          <w:color w:val="FFFFFF"/>
          <w:sz w:val="15"/>
          <w:szCs w:val="15"/>
          <w:shd w:fill="00A65A" w:val="clear"/>
        </w:rPr>
        <w:t xml:space="preserve">  NEW  </w:t>
      </w:r>
    </w:p>
    <w:p>
      <w:pPr>
        <w:pStyle w:val="Heading2"/>
        <w:spacing w:after="60" w:before="220"/>
      </w:pPr>
      <w:r>
        <w:rPr>
          <w:b/>
          <w:bCs/>
          <w:color w:val="14161C"/>
          <w:sz w:val="22"/>
          <w:szCs w:val="22"/>
        </w:rPr>
        <w:t xml:space="preserve">Movable widgets</w:t>
      </w:r>
    </w:p>
    <w:p>
      <w:pPr>
        <w:spacing w:after="120"/>
      </w:pPr>
      <w:r>
        <w:rPr>
          <w:color w:val="2C2E36"/>
          <w:sz w:val="21"/>
          <w:szCs w:val="21"/>
        </w:rPr>
        <w:t xml:space="preserve">Delivered counter, pipeline mix, department &amp; team workload, at-risk queue, upcoming deliveries — drag any widget’s grip to reorder the grid. Layout is remembered per device.</w:t>
      </w:r>
    </w:p>
    <w:p>
      <w:pPr>
        <w:pStyle w:val="Heading2"/>
        <w:spacing w:after="60" w:before="220"/>
      </w:pPr>
      <w:r>
        <w:rPr>
          <w:b/>
          <w:bCs/>
          <w:color w:val="14161C"/>
          <w:sz w:val="22"/>
          <w:szCs w:val="22"/>
        </w:rPr>
        <w:t xml:space="preserve">The Journal</w:t>
      </w:r>
    </w:p>
    <w:p>
      <w:pPr>
        <w:spacing w:after="120"/>
      </w:pPr>
      <w:r>
        <w:rPr>
          <w:color w:val="2C2E36"/>
          <w:sz w:val="21"/>
          <w:szCs w:val="21"/>
        </w:rPr>
        <w:t xml:space="preserve">A daily notebook, right on the dashboard. Type "- " for a to-do, "* " for a bullet, "#" for a heading; select text for a floating bold/italic/highlight toolbar. Unfinished to-dos offer to carry over from yesterday. Entries sync to your account, so your notebook follows you anywhere you sign in.</w:t>
      </w:r>
    </w:p>
    <w:p>
      <w:pPr>
        <w:pStyle w:val="Heading1"/>
        <w:pBdr>
          <w:bottom w:val="single" w:color="E4E5EA" w:sz="4" w:space="6"/>
        </w:pBdr>
        <w:spacing w:after="160" w:before="420"/>
      </w:pPr>
      <w:r>
        <w:rPr>
          <w:b/>
          <w:bCs/>
          <w:color w:val="14161C"/>
          <w:sz w:val="27"/>
          <w:szCs w:val="27"/>
        </w:rPr>
        <w:t xml:space="preserve">Also in this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E36"/>
          <w:sz w:val="21"/>
          <w:szCs w:val="21"/>
        </w:rPr>
        <w:t xml:space="preserve">Two fresh productions on the board: Blippi (live-action) and Emmie’s Wonder Wardrobe (animation), five episodes each, scheduled at the recommended pace from last Monday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E36"/>
          <w:sz w:val="21"/>
          <w:szCs w:val="21"/>
        </w:rPr>
        <w:t xml:space="preserve">Music Skeleton now correctly lives in the Music department (was miscategorised as Creative)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E36"/>
          <w:sz w:val="21"/>
          <w:szCs w:val="21"/>
        </w:rPr>
        <w:t xml:space="preserve">Project source is now tracked in a private GitHub repository</w:t>
      </w:r>
    </w:p>
    <w:p>
      <w:pPr>
        <w:pBdr>
          <w:top w:val="single" w:color="E4E5EA" w:sz="4" w:space="8"/>
        </w:pBdr>
        <w:spacing w:before="400"/>
        <w:jc w:val="center"/>
      </w:pPr>
      <w:r>
        <w:rPr>
          <w:color w:val="8A8F9C"/>
          <w:sz w:val="18"/>
          <w:szCs w:val="18"/>
        </w:rPr>
        <w:t xml:space="preserve">Post Pipeline — episodic post-production tracker  ·  </w:t>
      </w:r>
      <w:hyperlink w:history="1" r:id="rIdpt9rhru5mynpigpfizomi">
        <w:r>
          <w:rPr>
            <w:color w:val="5B6CFF"/>
            <w:sz w:val="18"/>
            <w:szCs w:val="18"/>
            <w:u w:val="single"/>
          </w:rPr>
          <w:t xml:space="preserve">github.com/ckuziara/post-pipeline-dashboard</w:t>
        </w:r>
      </w:hyperlink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t9rhru5mynpigpfizomi" Type="http://schemas.openxmlformats.org/officeDocument/2006/relationships/hyperlink" Target="https://github.com/ckuziara/post-pipeline-dashboar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2026-07-13T11:32:30.033Z</dcterms:created>
  <dcterms:modified xsi:type="dcterms:W3CDTF">2026-07-13T11:32:30.037Z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