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928"/>
      </w:tblGrid>
      <w:tr>
        <w:tc>
          <w:tcPr>
            <w:tcW w:type="dxa" w:w="9072"/>
            <w:shd w:val="clear" w:color="auto" w:fill="1D4ED8"/>
          </w:tcPr>
          <w:p>
            <w:pPr>
              <w:spacing w:before="200" w:after="200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G54 PLATFORM — ENTERPRISE RESOURCE PLATFORM</w:t>
            </w:r>
          </w:p>
        </w:tc>
      </w:tr>
    </w:tbl>
    <w:p>
      <w:pPr>
        <w:spacing w:after="40"/>
      </w:pPr>
    </w:p>
    <w:p>
      <w:pPr>
        <w:spacing w:before="400" w:after="80"/>
      </w:pPr>
      <w:r>
        <w:rPr>
          <w:rFonts w:ascii="Calibri" w:hAnsi="Calibri"/>
          <w:b/>
          <w:i w:val="0"/>
          <w:color w:val="0F172A"/>
          <w:sz w:val="56"/>
        </w:rPr>
        <w:t>Statement of Work</w:t>
      </w:r>
    </w:p>
    <w:p>
      <w:pPr>
        <w:spacing w:after="40"/>
      </w:pPr>
      <w:r>
        <w:rPr>
          <w:rFonts w:ascii="Calibri" w:hAnsi="Calibri"/>
          <w:b w:val="0"/>
          <w:i/>
          <w:color w:val="475569"/>
          <w:sz w:val="26"/>
        </w:rPr>
        <w:t>Sage 100 Replacement — Full ERP, CRM &amp; Commerce Platform</w:t>
      </w:r>
    </w:p>
    <w:p>
      <w:pPr>
        <w:spacing w:before="80" w:after="80"/>
        <w:pBdr>
          <w:bottom w:val="single" w:sz="4" w:color="E2E8F0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64"/>
        <w:gridCol w:w="4464"/>
      </w:tblGrid>
      <w:tr>
        <w:tc>
          <w:tcPr>
            <w:tcW w:type="dxa" w:w="2880"/>
            <w:shd w:val="clear" w:color="auto" w:fill="F1F5F9"/>
          </w:tcPr>
          <w:p>
            <w:pPr>
              <w:spacing w:before="100" w:after="100"/>
            </w:pPr>
            <w:r>
              <w:rPr>
                <w:rFonts w:ascii="Calibri" w:hAnsi="Calibri"/>
                <w:b/>
                <w:i w:val="0"/>
                <w:color w:val="0F172A"/>
                <w:sz w:val="20"/>
              </w:rPr>
              <w:t>Client</w:t>
            </w:r>
          </w:p>
        </w:tc>
        <w:tc>
          <w:tcPr>
            <w:tcW w:type="dxa" w:w="6192"/>
            <w:shd w:val="clear" w:color="auto" w:fill="F1F5F9"/>
          </w:tcPr>
          <w:p>
            <w:pPr>
              <w:spacing w:before="100" w:after="100"/>
            </w:pPr>
            <w:r>
              <w:rPr>
                <w:rFonts w:ascii="Calibri" w:hAnsi="Calibri"/>
                <w:b w:val="0"/>
                <w:i w:val="0"/>
                <w:color w:val="475569"/>
                <w:sz w:val="20"/>
              </w:rPr>
              <w:t>Great Mountain West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spacing w:before="100" w:after="100"/>
            </w:pPr>
            <w:r>
              <w:rPr>
                <w:rFonts w:ascii="Calibri" w:hAnsi="Calibri"/>
                <w:b/>
                <w:i w:val="0"/>
                <w:color w:val="0F172A"/>
                <w:sz w:val="20"/>
              </w:rPr>
              <w:t>Client Website</w:t>
            </w:r>
          </w:p>
        </w:tc>
        <w:tc>
          <w:tcPr>
            <w:tcW w:type="dxa" w:w="6192"/>
            <w:shd w:val="clear" w:color="auto" w:fill="FFFFFF"/>
          </w:tcPr>
          <w:p>
            <w:pPr>
              <w:spacing w:before="100" w:after="100"/>
            </w:pPr>
            <w:r>
              <w:rPr>
                <w:rFonts w:ascii="Calibri" w:hAnsi="Calibri"/>
                <w:b w:val="0"/>
                <w:i w:val="0"/>
                <w:color w:val="475569"/>
                <w:sz w:val="20"/>
              </w:rPr>
              <w:t>g54.com</w:t>
            </w:r>
          </w:p>
        </w:tc>
      </w:tr>
      <w:tr>
        <w:tc>
          <w:tcPr>
            <w:tcW w:type="dxa" w:w="2880"/>
            <w:shd w:val="clear" w:color="auto" w:fill="F1F5F9"/>
          </w:tcPr>
          <w:p>
            <w:pPr>
              <w:spacing w:before="100" w:after="100"/>
            </w:pPr>
            <w:r>
              <w:rPr>
                <w:rFonts w:ascii="Calibri" w:hAnsi="Calibri"/>
                <w:b/>
                <w:i w:val="0"/>
                <w:color w:val="0F172A"/>
                <w:sz w:val="20"/>
              </w:rPr>
              <w:t>Client Contact</w:t>
            </w:r>
          </w:p>
        </w:tc>
        <w:tc>
          <w:tcPr>
            <w:tcW w:type="dxa" w:w="6192"/>
            <w:shd w:val="clear" w:color="auto" w:fill="F1F5F9"/>
          </w:tcPr>
          <w:p>
            <w:pPr>
              <w:spacing w:before="100" w:after="100"/>
            </w:pPr>
            <w:r>
              <w:rPr>
                <w:rFonts w:ascii="Calibri" w:hAnsi="Calibri"/>
                <w:b w:val="0"/>
                <w:i w:val="0"/>
                <w:color w:val="475569"/>
                <w:sz w:val="20"/>
              </w:rPr>
              <w:t>___________________________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spacing w:before="100" w:after="100"/>
            </w:pPr>
            <w:r>
              <w:rPr>
                <w:rFonts w:ascii="Calibri" w:hAnsi="Calibri"/>
                <w:b/>
                <w:i w:val="0"/>
                <w:color w:val="0F172A"/>
                <w:sz w:val="20"/>
              </w:rPr>
              <w:t>Service Provider</w:t>
            </w:r>
          </w:p>
        </w:tc>
        <w:tc>
          <w:tcPr>
            <w:tcW w:type="dxa" w:w="6192"/>
            <w:shd w:val="clear" w:color="auto" w:fill="FFFFFF"/>
          </w:tcPr>
          <w:p>
            <w:pPr>
              <w:spacing w:before="100" w:after="100"/>
            </w:pPr>
            <w:r>
              <w:rPr>
                <w:rFonts w:ascii="Calibri" w:hAnsi="Calibri"/>
                <w:b w:val="0"/>
                <w:i w:val="0"/>
                <w:color w:val="475569"/>
                <w:sz w:val="20"/>
              </w:rPr>
              <w:t>Christopher Wall</w:t>
            </w:r>
          </w:p>
        </w:tc>
      </w:tr>
      <w:tr>
        <w:tc>
          <w:tcPr>
            <w:tcW w:type="dxa" w:w="2880"/>
            <w:shd w:val="clear" w:color="auto" w:fill="F1F5F9"/>
          </w:tcPr>
          <w:p>
            <w:pPr>
              <w:spacing w:before="100" w:after="100"/>
            </w:pPr>
            <w:r>
              <w:rPr>
                <w:rFonts w:ascii="Calibri" w:hAnsi="Calibri"/>
                <w:b/>
                <w:i w:val="0"/>
                <w:color w:val="0F172A"/>
                <w:sz w:val="20"/>
              </w:rPr>
              <w:t>Provider Email</w:t>
            </w:r>
          </w:p>
        </w:tc>
        <w:tc>
          <w:tcPr>
            <w:tcW w:type="dxa" w:w="6192"/>
            <w:shd w:val="clear" w:color="auto" w:fill="F1F5F9"/>
          </w:tcPr>
          <w:p>
            <w:pPr>
              <w:spacing w:before="100" w:after="100"/>
            </w:pPr>
            <w:r>
              <w:rPr>
                <w:rFonts w:ascii="Calibri" w:hAnsi="Calibri"/>
                <w:b w:val="0"/>
                <w:i w:val="0"/>
                <w:color w:val="475569"/>
                <w:sz w:val="20"/>
              </w:rPr>
              <w:t>ck.wall@icloud.com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spacing w:before="100" w:after="100"/>
            </w:pPr>
            <w:r>
              <w:rPr>
                <w:rFonts w:ascii="Calibri" w:hAnsi="Calibri"/>
                <w:b/>
                <w:i w:val="0"/>
                <w:color w:val="0F172A"/>
                <w:sz w:val="20"/>
              </w:rPr>
              <w:t>Document Version</w:t>
            </w:r>
          </w:p>
        </w:tc>
        <w:tc>
          <w:tcPr>
            <w:tcW w:type="dxa" w:w="6192"/>
            <w:shd w:val="clear" w:color="auto" w:fill="FFFFFF"/>
          </w:tcPr>
          <w:p>
            <w:pPr>
              <w:spacing w:before="100" w:after="100"/>
            </w:pPr>
            <w:r>
              <w:rPr>
                <w:rFonts w:ascii="Calibri" w:hAnsi="Calibri"/>
                <w:b w:val="0"/>
                <w:i w:val="0"/>
                <w:color w:val="475569"/>
                <w:sz w:val="20"/>
              </w:rPr>
              <w:t>1.0 — Draft</w:t>
            </w:r>
          </w:p>
        </w:tc>
      </w:tr>
      <w:tr>
        <w:tc>
          <w:tcPr>
            <w:tcW w:type="dxa" w:w="2880"/>
            <w:shd w:val="clear" w:color="auto" w:fill="F1F5F9"/>
          </w:tcPr>
          <w:p>
            <w:pPr>
              <w:spacing w:before="100" w:after="100"/>
            </w:pPr>
            <w:r>
              <w:rPr>
                <w:rFonts w:ascii="Calibri" w:hAnsi="Calibri"/>
                <w:b/>
                <w:i w:val="0"/>
                <w:color w:val="0F172A"/>
                <w:sz w:val="20"/>
              </w:rPr>
              <w:t>Date</w:t>
            </w:r>
          </w:p>
        </w:tc>
        <w:tc>
          <w:tcPr>
            <w:tcW w:type="dxa" w:w="6192"/>
            <w:shd w:val="clear" w:color="auto" w:fill="F1F5F9"/>
          </w:tcPr>
          <w:p>
            <w:pPr>
              <w:spacing w:before="100" w:after="100"/>
            </w:pPr>
            <w:r>
              <w:rPr>
                <w:rFonts w:ascii="Calibri" w:hAnsi="Calibri"/>
                <w:b w:val="0"/>
                <w:i w:val="0"/>
                <w:color w:val="475569"/>
                <w:sz w:val="20"/>
              </w:rPr>
              <w:t>July 10, 2026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pPr>
              <w:spacing w:before="100" w:after="100"/>
            </w:pPr>
            <w:r>
              <w:rPr>
                <w:rFonts w:ascii="Calibri" w:hAnsi="Calibri"/>
                <w:b/>
                <w:i w:val="0"/>
                <w:color w:val="0F172A"/>
                <w:sz w:val="20"/>
              </w:rPr>
              <w:t>Document Status</w:t>
            </w:r>
          </w:p>
        </w:tc>
        <w:tc>
          <w:tcPr>
            <w:tcW w:type="dxa" w:w="6192"/>
            <w:shd w:val="clear" w:color="auto" w:fill="FFFFFF"/>
          </w:tcPr>
          <w:p>
            <w:pPr>
              <w:spacing w:before="100" w:after="100"/>
            </w:pPr>
            <w:r>
              <w:rPr>
                <w:rFonts w:ascii="Calibri" w:hAnsi="Calibri"/>
                <w:b w:val="0"/>
                <w:i w:val="0"/>
                <w:color w:val="475569"/>
                <w:sz w:val="20"/>
              </w:rPr>
              <w:t>Pending Client Review &amp; Execution</w:t>
            </w:r>
          </w:p>
        </w:tc>
      </w:tr>
    </w:tbl>
    <w:p>
      <w:r>
        <w:br w:type="page"/>
      </w:r>
    </w:p>
    <w:p>
      <w:pPr>
        <w:keepNext/>
        <w:spacing w:before="360" w:after="160"/>
        <w:pBdr>
          <w:bottom w:val="single" w:sz="6" w:color="1D4ED8"/>
        </w:pBdr>
      </w:pPr>
      <w:r>
        <w:rPr>
          <w:rFonts w:ascii="Calibri" w:hAnsi="Calibri"/>
          <w:b/>
          <w:color w:val="0F172A"/>
          <w:sz w:val="36"/>
        </w:rPr>
        <w:t>1.  Project Background &amp; Overview</w:t>
      </w:r>
    </w:p>
    <w:p>
      <w:pPr>
        <w:spacing w:after="120" w:before="0"/>
      </w:pPr>
      <w:r>
        <w:rPr>
          <w:rFonts w:ascii="Calibri" w:hAnsi="Calibri"/>
          <w:b w:val="0"/>
          <w:i w:val="0"/>
          <w:color w:val="475569"/>
          <w:sz w:val="21"/>
        </w:rPr>
        <w:t>Great Mountain West currently operates on Sage 100 as its primary business management platform. Following an evaluation of Odoo as a potential replacement — which did not satisfy the depth of financial functionality required — Great Mountain West is commissioning a purpose-built, cloud-native enterprise platform.</w:t>
      </w:r>
    </w:p>
    <w:p>
      <w:pPr>
        <w:spacing w:after="120" w:before="0"/>
      </w:pPr>
      <w:r>
        <w:rPr>
          <w:rFonts w:ascii="Calibri" w:hAnsi="Calibri"/>
          <w:b w:val="0"/>
          <w:i w:val="0"/>
          <w:color w:val="475569"/>
          <w:sz w:val="21"/>
        </w:rPr>
        <w:t>This platform will consolidate and replace the following operational domains:</w:t>
      </w:r>
    </w:p>
    <w:p>
      <w:pPr>
        <w:pStyle w:val="ListBullet"/>
        <w:spacing w:after="60" w:before="0"/>
        <w:ind w:left="360"/>
      </w:pPr>
      <w:r>
        <w:rPr>
          <w:rFonts w:ascii="Calibri" w:hAnsi="Calibri"/>
          <w:b w:val="0"/>
          <w:i w:val="0"/>
          <w:color w:val="475569"/>
          <w:sz w:val="21"/>
        </w:rPr>
        <w:t>Financial management and accounting (replacing Sage 100)</w:t>
      </w:r>
    </w:p>
    <w:p>
      <w:pPr>
        <w:pStyle w:val="ListBullet"/>
        <w:spacing w:after="60" w:before="0"/>
        <w:ind w:left="360"/>
      </w:pPr>
      <w:r>
        <w:rPr>
          <w:rFonts w:ascii="Calibri" w:hAnsi="Calibri"/>
          <w:b w:val="0"/>
          <w:i w:val="0"/>
          <w:color w:val="475569"/>
          <w:sz w:val="21"/>
        </w:rPr>
        <w:t>Customer Relationship Management (CRM)</w:t>
      </w:r>
    </w:p>
    <w:p>
      <w:pPr>
        <w:pStyle w:val="ListBullet"/>
        <w:spacing w:after="60" w:before="0"/>
        <w:ind w:left="360"/>
      </w:pPr>
      <w:r>
        <w:rPr>
          <w:rFonts w:ascii="Calibri" w:hAnsi="Calibri"/>
          <w:b w:val="0"/>
          <w:i w:val="0"/>
          <w:color w:val="475569"/>
          <w:sz w:val="21"/>
        </w:rPr>
        <w:t>eCommerce — customer-facing order entry and management</w:t>
      </w:r>
    </w:p>
    <w:p>
      <w:pPr>
        <w:pStyle w:val="ListBullet"/>
        <w:spacing w:after="60" w:before="0"/>
        <w:ind w:left="360"/>
      </w:pPr>
      <w:r>
        <w:rPr>
          <w:rFonts w:ascii="Calibri" w:hAnsi="Calibri"/>
          <w:b w:val="0"/>
          <w:i w:val="0"/>
          <w:color w:val="475569"/>
          <w:sz w:val="21"/>
        </w:rPr>
        <w:t>Inventory and warehouse management</w:t>
      </w:r>
    </w:p>
    <w:p>
      <w:pPr>
        <w:pStyle w:val="ListBullet"/>
        <w:spacing w:after="60" w:before="0"/>
        <w:ind w:left="360"/>
      </w:pPr>
      <w:r>
        <w:rPr>
          <w:rFonts w:ascii="Calibri" w:hAnsi="Calibri"/>
          <w:b w:val="0"/>
          <w:i w:val="0"/>
          <w:color w:val="475569"/>
          <w:sz w:val="21"/>
        </w:rPr>
        <w:t>Point of Sale (POS)</w:t>
      </w:r>
    </w:p>
    <w:p>
      <w:pPr>
        <w:pStyle w:val="ListBullet"/>
        <w:spacing w:after="60" w:before="0"/>
        <w:ind w:left="360"/>
      </w:pPr>
      <w:r>
        <w:rPr>
          <w:rFonts w:ascii="Calibri" w:hAnsi="Calibri"/>
          <w:b w:val="0"/>
          <w:i w:val="0"/>
          <w:color w:val="475569"/>
          <w:sz w:val="21"/>
        </w:rPr>
        <w:t>Project and job management</w:t>
      </w:r>
    </w:p>
    <w:p>
      <w:pPr>
        <w:pStyle w:val="ListBullet"/>
        <w:spacing w:after="60" w:before="0"/>
        <w:ind w:left="360"/>
      </w:pPr>
      <w:r>
        <w:rPr>
          <w:rFonts w:ascii="Calibri" w:hAnsi="Calibri"/>
          <w:b w:val="0"/>
          <w:i w:val="0"/>
          <w:color w:val="475569"/>
          <w:sz w:val="21"/>
        </w:rPr>
        <w:t>Accounts Receivable and Accounts Payable workflows</w:t>
      </w:r>
    </w:p>
    <w:p>
      <w:pPr>
        <w:spacing w:after="80" w:before="0"/>
      </w:pPr>
      <w:r>
        <w:rPr>
          <w:rFonts w:ascii="Calibri" w:hAnsi="Calibri"/>
          <w:b w:val="0"/>
          <w:i w:val="0"/>
          <w:color w:val="475569"/>
          <w:sz w:val="21"/>
        </w:rPr>
        <w:t>The resulting system will be a single, integrated, cloud-hosted platform accessible via internet browser, designed to meet PCI DSS and SOC 2 Type 2 compliance requirements from the ground up.</w:t>
      </w:r>
    </w:p>
    <w:p>
      <w:pPr>
        <w:keepNext/>
        <w:spacing w:before="360" w:after="160"/>
        <w:pBdr>
          <w:bottom w:val="single" w:sz="6" w:color="1D4ED8"/>
        </w:pBdr>
      </w:pPr>
      <w:r>
        <w:rPr>
          <w:rFonts w:ascii="Calibri" w:hAnsi="Calibri"/>
          <w:b/>
          <w:color w:val="0F172A"/>
          <w:sz w:val="36"/>
        </w:rPr>
        <w:t>2.  Project Objectives</w:t>
      </w:r>
    </w:p>
    <w:p>
      <w:pPr>
        <w:pStyle w:val="ListBullet"/>
        <w:spacing w:after="60" w:before="0"/>
        <w:ind w:left="360"/>
      </w:pPr>
      <w:r>
        <w:rPr>
          <w:rFonts w:ascii="Calibri" w:hAnsi="Calibri"/>
          <w:b w:val="0"/>
          <w:i w:val="0"/>
          <w:color w:val="475569"/>
          <w:sz w:val="21"/>
        </w:rPr>
        <w:t>Deliver a full-replacement ERP platform purpose-built for Great Mountain West's operational model.</w:t>
      </w:r>
    </w:p>
    <w:p>
      <w:pPr>
        <w:pStyle w:val="ListBullet"/>
        <w:spacing w:after="60" w:before="0"/>
        <w:ind w:left="360"/>
      </w:pPr>
      <w:r>
        <w:rPr>
          <w:rFonts w:ascii="Calibri" w:hAnsi="Calibri"/>
          <w:b w:val="0"/>
          <w:i w:val="0"/>
          <w:color w:val="475569"/>
          <w:sz w:val="21"/>
        </w:rPr>
        <w:t>Eliminate dependency on Sage 100 and any associated legacy integrations.</w:t>
      </w:r>
    </w:p>
    <w:p>
      <w:pPr>
        <w:pStyle w:val="ListBullet"/>
        <w:spacing w:after="60" w:before="0"/>
        <w:ind w:left="360"/>
      </w:pPr>
      <w:r>
        <w:rPr>
          <w:rFonts w:ascii="Calibri" w:hAnsi="Calibri"/>
          <w:b w:val="0"/>
          <w:i w:val="0"/>
          <w:color w:val="475569"/>
          <w:sz w:val="21"/>
        </w:rPr>
        <w:t>Provide a secure, compliance-ready platform with end-to-end data security.</w:t>
      </w:r>
    </w:p>
    <w:p>
      <w:pPr>
        <w:pStyle w:val="ListBullet"/>
        <w:spacing w:after="60" w:before="0"/>
        <w:ind w:left="360"/>
      </w:pPr>
      <w:r>
        <w:rPr>
          <w:rFonts w:ascii="Calibri" w:hAnsi="Calibri"/>
          <w:b w:val="0"/>
          <w:i w:val="0"/>
          <w:color w:val="475569"/>
          <w:sz w:val="21"/>
        </w:rPr>
        <w:t>Enable role-based access across all departments.</w:t>
      </w:r>
    </w:p>
    <w:p>
      <w:pPr>
        <w:pStyle w:val="ListBullet"/>
        <w:spacing w:after="60" w:before="0"/>
        <w:ind w:left="360"/>
      </w:pPr>
      <w:r>
        <w:rPr>
          <w:rFonts w:ascii="Calibri" w:hAnsi="Calibri"/>
          <w:b w:val="0"/>
          <w:i w:val="0"/>
          <w:color w:val="475569"/>
          <w:sz w:val="21"/>
        </w:rPr>
        <w:t>Build iteratively using Agile sprint methodology, delivering working software at each phase boundary.</w:t>
      </w:r>
    </w:p>
    <w:p>
      <w:pPr>
        <w:pStyle w:val="ListBullet"/>
        <w:spacing w:after="60" w:before="0"/>
        <w:ind w:left="360"/>
      </w:pPr>
      <w:r>
        <w:rPr>
          <w:rFonts w:ascii="Calibri" w:hAnsi="Calibri"/>
          <w:b w:val="0"/>
          <w:i w:val="0"/>
          <w:color w:val="475569"/>
          <w:sz w:val="21"/>
        </w:rPr>
        <w:t>Architect for scalability, backup integrity, and disaster recovery from day one.</w:t>
      </w:r>
    </w:p>
    <w:p>
      <w:pPr>
        <w:keepNext/>
        <w:spacing w:before="360" w:after="160"/>
        <w:pBdr>
          <w:bottom w:val="single" w:sz="6" w:color="1D4ED8"/>
        </w:pBdr>
      </w:pPr>
      <w:r>
        <w:rPr>
          <w:rFonts w:ascii="Calibri" w:hAnsi="Calibri"/>
          <w:b/>
          <w:color w:val="0F172A"/>
          <w:sz w:val="36"/>
        </w:rPr>
        <w:t>3.  Project Phases Overview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32"/>
        <w:gridCol w:w="2232"/>
        <w:gridCol w:w="2232"/>
        <w:gridCol w:w="2232"/>
      </w:tblGrid>
      <w:tr>
        <w:tc>
          <w:tcPr>
            <w:tcW w:type="dxa" w:w="936"/>
            <w:shd w:val="clear" w:color="auto" w:fill="1D4ED8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Phase</w:t>
            </w:r>
          </w:p>
        </w:tc>
        <w:tc>
          <w:tcPr>
            <w:tcW w:type="dxa" w:w="3600"/>
            <w:shd w:val="clear" w:color="auto" w:fill="1D4ED8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Name</w:t>
            </w:r>
          </w:p>
        </w:tc>
        <w:tc>
          <w:tcPr>
            <w:tcW w:type="dxa" w:w="2160"/>
            <w:shd w:val="clear" w:color="auto" w:fill="1D4ED8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Methodology</w:t>
            </w:r>
          </w:p>
        </w:tc>
        <w:tc>
          <w:tcPr>
            <w:tcW w:type="dxa" w:w="2376"/>
            <w:shd w:val="clear" w:color="auto" w:fill="1D4ED8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Pricing Model</w:t>
            </w:r>
          </w:p>
        </w:tc>
      </w:tr>
      <w:tr>
        <w:tc>
          <w:tcPr>
            <w:tcW w:type="dxa" w:w="936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0F172A"/>
                <w:sz w:val="19"/>
              </w:rPr>
              <w:t>Phase 1</w:t>
            </w:r>
          </w:p>
        </w:tc>
        <w:tc>
          <w:tcPr>
            <w:tcW w:type="dxa" w:w="3600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Discovery, Architecture &amp; Design</w:t>
            </w:r>
          </w:p>
        </w:tc>
        <w:tc>
          <w:tcPr>
            <w:tcW w:type="dxa" w:w="2160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Flat-rate delivery</w:t>
            </w:r>
          </w:p>
        </w:tc>
        <w:tc>
          <w:tcPr>
            <w:tcW w:type="dxa" w:w="2376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1D4ED8"/>
                <w:sz w:val="19"/>
              </w:rPr>
              <w:t>$5,000</w:t>
            </w:r>
          </w:p>
        </w:tc>
      </w:tr>
      <w:tr>
        <w:tc>
          <w:tcPr>
            <w:tcW w:type="dxa" w:w="936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0F172A"/>
                <w:sz w:val="19"/>
              </w:rPr>
              <w:t>Phase 2</w:t>
            </w:r>
          </w:p>
        </w:tc>
        <w:tc>
          <w:tcPr>
            <w:tcW w:type="dxa" w:w="3600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Core Platform Foundation</w:t>
            </w:r>
          </w:p>
        </w:tc>
        <w:tc>
          <w:tcPr>
            <w:tcW w:type="dxa" w:w="2160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Sprint-based</w:t>
            </w:r>
          </w:p>
        </w:tc>
        <w:tc>
          <w:tcPr>
            <w:tcW w:type="dxa" w:w="2376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TBD post-Phase 1</w:t>
            </w:r>
          </w:p>
        </w:tc>
      </w:tr>
      <w:tr>
        <w:tc>
          <w:tcPr>
            <w:tcW w:type="dxa" w:w="936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0F172A"/>
                <w:sz w:val="19"/>
              </w:rPr>
              <w:t>Phase 3</w:t>
            </w:r>
          </w:p>
        </w:tc>
        <w:tc>
          <w:tcPr>
            <w:tcW w:type="dxa" w:w="3600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Financial Suite (GL, AR, AP)</w:t>
            </w:r>
          </w:p>
        </w:tc>
        <w:tc>
          <w:tcPr>
            <w:tcW w:type="dxa" w:w="2160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Sprint-based</w:t>
            </w:r>
          </w:p>
        </w:tc>
        <w:tc>
          <w:tcPr>
            <w:tcW w:type="dxa" w:w="2376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TBD post-Phase 1</w:t>
            </w:r>
          </w:p>
        </w:tc>
      </w:tr>
      <w:tr>
        <w:tc>
          <w:tcPr>
            <w:tcW w:type="dxa" w:w="936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0F172A"/>
                <w:sz w:val="19"/>
              </w:rPr>
              <w:t>Phase 4</w:t>
            </w:r>
          </w:p>
        </w:tc>
        <w:tc>
          <w:tcPr>
            <w:tcW w:type="dxa" w:w="3600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CRM &amp; Sales</w:t>
            </w:r>
          </w:p>
        </w:tc>
        <w:tc>
          <w:tcPr>
            <w:tcW w:type="dxa" w:w="2160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Sprint-based</w:t>
            </w:r>
          </w:p>
        </w:tc>
        <w:tc>
          <w:tcPr>
            <w:tcW w:type="dxa" w:w="2376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TBD post-Phase 1</w:t>
            </w:r>
          </w:p>
        </w:tc>
      </w:tr>
      <w:tr>
        <w:tc>
          <w:tcPr>
            <w:tcW w:type="dxa" w:w="936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0F172A"/>
                <w:sz w:val="19"/>
              </w:rPr>
              <w:t>Phase 5</w:t>
            </w:r>
          </w:p>
        </w:tc>
        <w:tc>
          <w:tcPr>
            <w:tcW w:type="dxa" w:w="3600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Inventory, POS &amp; eCommerce</w:t>
            </w:r>
          </w:p>
        </w:tc>
        <w:tc>
          <w:tcPr>
            <w:tcW w:type="dxa" w:w="2160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Sprint-based</w:t>
            </w:r>
          </w:p>
        </w:tc>
        <w:tc>
          <w:tcPr>
            <w:tcW w:type="dxa" w:w="2376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TBD post-Phase 1</w:t>
            </w:r>
          </w:p>
        </w:tc>
      </w:tr>
      <w:tr>
        <w:tc>
          <w:tcPr>
            <w:tcW w:type="dxa" w:w="936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0F172A"/>
                <w:sz w:val="19"/>
              </w:rPr>
              <w:t>Phase 6</w:t>
            </w:r>
          </w:p>
        </w:tc>
        <w:tc>
          <w:tcPr>
            <w:tcW w:type="dxa" w:w="3600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Project &amp; Job Management</w:t>
            </w:r>
          </w:p>
        </w:tc>
        <w:tc>
          <w:tcPr>
            <w:tcW w:type="dxa" w:w="2160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Sprint-based</w:t>
            </w:r>
          </w:p>
        </w:tc>
        <w:tc>
          <w:tcPr>
            <w:tcW w:type="dxa" w:w="2376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TBD post-Phase 1</w:t>
            </w:r>
          </w:p>
        </w:tc>
      </w:tr>
      <w:tr>
        <w:tc>
          <w:tcPr>
            <w:tcW w:type="dxa" w:w="936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0F172A"/>
                <w:sz w:val="19"/>
              </w:rPr>
              <w:t>Phase 7</w:t>
            </w:r>
          </w:p>
        </w:tc>
        <w:tc>
          <w:tcPr>
            <w:tcW w:type="dxa" w:w="3600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Reporting, Analytics &amp; Dashboards</w:t>
            </w:r>
          </w:p>
        </w:tc>
        <w:tc>
          <w:tcPr>
            <w:tcW w:type="dxa" w:w="2160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Sprint-based</w:t>
            </w:r>
          </w:p>
        </w:tc>
        <w:tc>
          <w:tcPr>
            <w:tcW w:type="dxa" w:w="2376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TBD post-Phase 1</w:t>
            </w:r>
          </w:p>
        </w:tc>
      </w:tr>
      <w:tr>
        <w:tc>
          <w:tcPr>
            <w:tcW w:type="dxa" w:w="936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0F172A"/>
                <w:sz w:val="19"/>
              </w:rPr>
              <w:t>Phase 8</w:t>
            </w:r>
          </w:p>
        </w:tc>
        <w:tc>
          <w:tcPr>
            <w:tcW w:type="dxa" w:w="3600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Compliance, Security &amp; Launch</w:t>
            </w:r>
          </w:p>
        </w:tc>
        <w:tc>
          <w:tcPr>
            <w:tcW w:type="dxa" w:w="2160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Sprint-based</w:t>
            </w:r>
          </w:p>
        </w:tc>
        <w:tc>
          <w:tcPr>
            <w:tcW w:type="dxa" w:w="2376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TBD post-Phase 1</w:t>
            </w:r>
          </w:p>
        </w:tc>
      </w:tr>
    </w:tbl>
    <w:p>
      <w:pPr>
        <w:spacing w:after="80"/>
      </w:pPr>
    </w:p>
    <w:p>
      <w:pPr>
        <w:spacing w:after="120" w:before="0"/>
      </w:pPr>
      <w:r>
        <w:rPr>
          <w:rFonts w:ascii="Calibri" w:hAnsi="Calibri"/>
          <w:b w:val="0"/>
          <w:i w:val="0"/>
          <w:color w:val="475569"/>
          <w:sz w:val="19"/>
        </w:rPr>
        <w:t>Note: Phases 2–8 will be scoped, estimated, and priced as fixed deliverables following the completion and approval of Phase 1. Sprint pricing will be formalized in a Phase 2+ amendment.</w:t>
      </w:r>
    </w:p>
    <w:p>
      <w:pPr>
        <w:keepNext/>
        <w:spacing w:before="360" w:after="160"/>
        <w:pBdr>
          <w:bottom w:val="single" w:sz="6" w:color="1D4ED8"/>
        </w:pBdr>
      </w:pPr>
      <w:r>
        <w:rPr>
          <w:rFonts w:ascii="Calibri" w:hAnsi="Calibri"/>
          <w:b/>
          <w:color w:val="0F172A"/>
          <w:sz w:val="36"/>
        </w:rPr>
        <w:t>4.  Phase 1 — Discovery, Architecture &amp; Design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4.1  Scope</w:t>
      </w:r>
    </w:p>
    <w:p>
      <w:pPr>
        <w:spacing w:after="120" w:before="0"/>
      </w:pPr>
      <w:r>
        <w:rPr>
          <w:rFonts w:ascii="Calibri" w:hAnsi="Calibri"/>
          <w:b w:val="0"/>
          <w:i w:val="0"/>
          <w:color w:val="475569"/>
          <w:sz w:val="21"/>
        </w:rPr>
        <w:t>Phase 1 is a flat-rate discovery and design engagement. Its purpose is to produce the complete blueprint — functional, technical, and visual — that will govern all subsequent development phases.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4"/>
        </w:rPr>
        <w:t>4.1.1  Discovery &amp; Requirements Workshops</w:t>
      </w:r>
    </w:p>
    <w:p>
      <w:pPr>
        <w:pStyle w:val="ListBullet"/>
        <w:spacing w:after="60" w:before="0"/>
        <w:ind w:left="360"/>
      </w:pPr>
      <w:r>
        <w:rPr>
          <w:rFonts w:ascii="Calibri" w:hAnsi="Calibri"/>
          <w:b w:val="0"/>
          <w:i w:val="0"/>
          <w:color w:val="475569"/>
          <w:sz w:val="21"/>
        </w:rPr>
        <w:t>Structured interviews and working sessions with stakeholders across all departments</w:t>
      </w:r>
    </w:p>
    <w:p>
      <w:pPr>
        <w:pStyle w:val="ListBullet"/>
        <w:spacing w:after="60" w:before="0"/>
        <w:ind w:left="360"/>
      </w:pPr>
      <w:r>
        <w:rPr>
          <w:rFonts w:ascii="Calibri" w:hAnsi="Calibri"/>
          <w:b w:val="0"/>
          <w:i w:val="0"/>
          <w:color w:val="475569"/>
          <w:sz w:val="21"/>
        </w:rPr>
        <w:t>Documentation of current Sage 100 workflows and data models</w:t>
      </w:r>
    </w:p>
    <w:p>
      <w:pPr>
        <w:pStyle w:val="ListBullet"/>
        <w:spacing w:after="60" w:before="0"/>
        <w:ind w:left="360"/>
      </w:pPr>
      <w:r>
        <w:rPr>
          <w:rFonts w:ascii="Calibri" w:hAnsi="Calibri"/>
          <w:b w:val="0"/>
          <w:i w:val="0"/>
          <w:color w:val="475569"/>
          <w:sz w:val="21"/>
        </w:rPr>
        <w:t>Gap analysis between current state and desired future state</w:t>
      </w:r>
    </w:p>
    <w:p>
      <w:pPr>
        <w:pStyle w:val="ListBullet"/>
        <w:spacing w:after="60" w:before="0"/>
        <w:ind w:left="360"/>
      </w:pPr>
      <w:r>
        <w:rPr>
          <w:rFonts w:ascii="Calibri" w:hAnsi="Calibri"/>
          <w:b w:val="0"/>
          <w:i w:val="0"/>
          <w:color w:val="475569"/>
          <w:sz w:val="21"/>
        </w:rPr>
        <w:t>Identification of third-party integrations (payment processors, shipping, email, file storage)</w:t>
      </w:r>
    </w:p>
    <w:p>
      <w:pPr>
        <w:pStyle w:val="ListBullet"/>
        <w:spacing w:after="60" w:before="0"/>
        <w:ind w:left="360"/>
      </w:pPr>
      <w:r>
        <w:rPr>
          <w:rFonts w:ascii="Calibri" w:hAnsi="Calibri"/>
          <w:b w:val="0"/>
          <w:i w:val="0"/>
          <w:color w:val="475569"/>
          <w:sz w:val="21"/>
        </w:rPr>
        <w:t>Compliance scoping session (PCI DSS, SOC 2 Type 2)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4"/>
        </w:rPr>
        <w:t>4.1.2  Persona Development</w:t>
      </w:r>
    </w:p>
    <w:p>
      <w:pPr>
        <w:spacing w:after="120" w:before="0"/>
      </w:pPr>
      <w:r>
        <w:rPr>
          <w:rFonts w:ascii="Calibri" w:hAnsi="Calibri"/>
          <w:b w:val="0"/>
          <w:i w:val="0"/>
          <w:color w:val="475569"/>
          <w:sz w:val="21"/>
        </w:rPr>
        <w:t>Definition and documentation of all user personas, including:</w:t>
      </w:r>
    </w:p>
    <w:p>
      <w:pPr>
        <w:pStyle w:val="ListBullet"/>
        <w:spacing w:after="60" w:before="0"/>
        <w:ind w:left="360"/>
      </w:pPr>
      <w:r>
        <w:rPr>
          <w:rFonts w:ascii="Calibri" w:hAnsi="Calibri"/>
          <w:b w:val="0"/>
          <w:i w:val="0"/>
          <w:color w:val="475569"/>
          <w:sz w:val="21"/>
        </w:rPr>
        <w:t>Business personas: Executive, Finance Manager, Sales Rep, Sales Manager, Art Director, Graphic Designer, Prepress Technician, Production Manager, Production Operator, AR Clerk, AP Clerk, Customer Service Rep, Warehouse Manager, Project Manager, IT Administrator</w:t>
      </w:r>
    </w:p>
    <w:p>
      <w:pPr>
        <w:pStyle w:val="ListBullet"/>
        <w:spacing w:after="60" w:before="0"/>
        <w:ind w:left="360"/>
      </w:pPr>
      <w:r>
        <w:rPr>
          <w:rFonts w:ascii="Calibri" w:hAnsi="Calibri"/>
          <w:b w:val="0"/>
          <w:i w:val="0"/>
          <w:color w:val="475569"/>
          <w:sz w:val="21"/>
        </w:rPr>
        <w:t>System personas: Super Admin, API Consumer, Payment Gateway, Email Service, Reporting Engine, Backup Service, Audit Engine, CI/CD Pipeline, Session Manager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4"/>
        </w:rPr>
        <w:t>4.1.3  Full Epic &amp; User Story Documentation</w:t>
      </w:r>
    </w:p>
    <w:p>
      <w:pPr>
        <w:pStyle w:val="ListBullet"/>
        <w:spacing w:after="60" w:before="0"/>
        <w:ind w:left="360"/>
      </w:pPr>
      <w:r>
        <w:rPr>
          <w:rFonts w:ascii="Calibri" w:hAnsi="Calibri"/>
          <w:b w:val="0"/>
          <w:i w:val="0"/>
          <w:color w:val="475569"/>
          <w:sz w:val="21"/>
        </w:rPr>
        <w:t>Complete product backlog organized by module and persona</w:t>
      </w:r>
    </w:p>
    <w:p>
      <w:pPr>
        <w:pStyle w:val="ListBullet"/>
        <w:spacing w:after="60" w:before="0"/>
        <w:ind w:left="360"/>
      </w:pPr>
      <w:r>
        <w:rPr>
          <w:rFonts w:ascii="Calibri" w:hAnsi="Calibri"/>
          <w:b w:val="0"/>
          <w:i w:val="0"/>
          <w:color w:val="475569"/>
          <w:sz w:val="21"/>
        </w:rPr>
        <w:t>Acceptance criteria for each user story</w:t>
      </w:r>
    </w:p>
    <w:p>
      <w:pPr>
        <w:pStyle w:val="ListBullet"/>
        <w:spacing w:after="60" w:before="0"/>
        <w:ind w:left="360"/>
      </w:pPr>
      <w:r>
        <w:rPr>
          <w:rFonts w:ascii="Calibri" w:hAnsi="Calibri"/>
          <w:b w:val="0"/>
          <w:i w:val="0"/>
          <w:color w:val="475569"/>
          <w:sz w:val="21"/>
        </w:rPr>
        <w:t>Priority and dependency mapping</w:t>
      </w:r>
    </w:p>
    <w:p>
      <w:pPr>
        <w:pStyle w:val="ListBullet"/>
        <w:spacing w:after="60" w:before="0"/>
        <w:ind w:left="360"/>
      </w:pPr>
      <w:r>
        <w:rPr>
          <w:rFonts w:ascii="Calibri" w:hAnsi="Calibri"/>
          <w:b w:val="0"/>
          <w:i w:val="0"/>
          <w:color w:val="475569"/>
          <w:sz w:val="21"/>
        </w:rPr>
        <w:t>Estimated story point ranges for sprint planning reference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4"/>
        </w:rPr>
        <w:t>4.1.4  Feature Requirements Specification</w:t>
      </w:r>
    </w:p>
    <w:p>
      <w:pPr>
        <w:pStyle w:val="ListBullet"/>
        <w:spacing w:after="60" w:before="0"/>
        <w:ind w:left="360"/>
      </w:pPr>
      <w:r>
        <w:rPr>
          <w:rFonts w:ascii="Calibri" w:hAnsi="Calibri"/>
          <w:b w:val="0"/>
          <w:i w:val="0"/>
          <w:color w:val="475569"/>
          <w:sz w:val="21"/>
        </w:rPr>
        <w:t>Functional requirements document (FRD) covering all modules</w:t>
      </w:r>
    </w:p>
    <w:p>
      <w:pPr>
        <w:pStyle w:val="ListBullet"/>
        <w:spacing w:after="60" w:before="0"/>
        <w:ind w:left="360"/>
      </w:pPr>
      <w:r>
        <w:rPr>
          <w:rFonts w:ascii="Calibri" w:hAnsi="Calibri"/>
          <w:b w:val="0"/>
          <w:i w:val="0"/>
          <w:color w:val="475569"/>
          <w:sz w:val="21"/>
        </w:rPr>
        <w:t>Non-functional requirements (performance, security, availability, compliance)</w:t>
      </w:r>
    </w:p>
    <w:p>
      <w:pPr>
        <w:pStyle w:val="ListBullet"/>
        <w:spacing w:after="60" w:before="0"/>
        <w:ind w:left="360"/>
      </w:pPr>
      <w:r>
        <w:rPr>
          <w:rFonts w:ascii="Calibri" w:hAnsi="Calibri"/>
          <w:b w:val="0"/>
          <w:i w:val="0"/>
          <w:color w:val="475569"/>
          <w:sz w:val="21"/>
        </w:rPr>
        <w:t>Data model and entity relationship diagrams (ERD)</w:t>
      </w:r>
    </w:p>
    <w:p>
      <w:pPr>
        <w:pStyle w:val="ListBullet"/>
        <w:spacing w:after="60" w:before="0"/>
        <w:ind w:left="360"/>
      </w:pPr>
      <w:r>
        <w:rPr>
          <w:rFonts w:ascii="Calibri" w:hAnsi="Calibri"/>
          <w:b w:val="0"/>
          <w:i w:val="0"/>
          <w:color w:val="475569"/>
          <w:sz w:val="21"/>
        </w:rPr>
        <w:t>Role-based access control (RBAC) matrix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4"/>
        </w:rPr>
        <w:t>4.1.5  UX/UI Design &amp; Wireframes</w:t>
      </w:r>
    </w:p>
    <w:p>
      <w:pPr>
        <w:pStyle w:val="ListBullet"/>
        <w:spacing w:after="60" w:before="0"/>
        <w:ind w:left="360"/>
      </w:pPr>
      <w:r>
        <w:rPr>
          <w:rFonts w:ascii="Calibri" w:hAnsi="Calibri"/>
          <w:b w:val="0"/>
          <w:i w:val="0"/>
          <w:color w:val="475569"/>
          <w:sz w:val="21"/>
        </w:rPr>
        <w:t>Information architecture and site map</w:t>
      </w:r>
    </w:p>
    <w:p>
      <w:pPr>
        <w:pStyle w:val="ListBullet"/>
        <w:spacing w:after="60" w:before="0"/>
        <w:ind w:left="360"/>
      </w:pPr>
      <w:r>
        <w:rPr>
          <w:rFonts w:ascii="Calibri" w:hAnsi="Calibri"/>
          <w:b w:val="0"/>
          <w:i w:val="0"/>
          <w:color w:val="475569"/>
          <w:sz w:val="21"/>
        </w:rPr>
        <w:t>Low-fidelity wireframes for all primary user flows</w:t>
      </w:r>
    </w:p>
    <w:p>
      <w:pPr>
        <w:pStyle w:val="ListBullet"/>
        <w:spacing w:after="60" w:before="0"/>
        <w:ind w:left="360"/>
      </w:pPr>
      <w:r>
        <w:rPr>
          <w:rFonts w:ascii="Calibri" w:hAnsi="Calibri"/>
          <w:b w:val="0"/>
          <w:i w:val="0"/>
          <w:color w:val="475569"/>
          <w:sz w:val="21"/>
        </w:rPr>
        <w:t>High-fidelity mockups for key screens</w:t>
      </w:r>
    </w:p>
    <w:p>
      <w:pPr>
        <w:pStyle w:val="ListBullet"/>
        <w:spacing w:after="60" w:before="0"/>
        <w:ind w:left="360"/>
      </w:pPr>
      <w:r>
        <w:rPr>
          <w:rFonts w:ascii="Calibri" w:hAnsi="Calibri"/>
          <w:b w:val="0"/>
          <w:i w:val="0"/>
          <w:color w:val="475569"/>
          <w:sz w:val="21"/>
        </w:rPr>
        <w:t>Interactive prototype for client review and approval</w:t>
      </w:r>
    </w:p>
    <w:p>
      <w:pPr>
        <w:pStyle w:val="ListBullet"/>
        <w:spacing w:after="60" w:before="0"/>
        <w:ind w:left="360"/>
      </w:pPr>
      <w:r>
        <w:rPr>
          <w:rFonts w:ascii="Calibri" w:hAnsi="Calibri"/>
          <w:b w:val="0"/>
          <w:i w:val="0"/>
          <w:color w:val="475569"/>
          <w:sz w:val="21"/>
        </w:rPr>
        <w:t>Design system foundations (typography, color, component library)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4"/>
        </w:rPr>
        <w:t>4.1.6  Technical Architecture Design</w:t>
      </w:r>
    </w:p>
    <w:p>
      <w:pPr>
        <w:pStyle w:val="ListBullet"/>
        <w:spacing w:after="60" w:before="0"/>
        <w:ind w:left="360"/>
      </w:pPr>
      <w:r>
        <w:rPr>
          <w:rFonts w:ascii="Calibri" w:hAnsi="Calibri"/>
          <w:b w:val="0"/>
          <w:i w:val="0"/>
          <w:color w:val="475569"/>
          <w:sz w:val="21"/>
        </w:rPr>
        <w:t>Platform and infrastructure selection</w:t>
      </w:r>
    </w:p>
    <w:p>
      <w:pPr>
        <w:pStyle w:val="ListBullet"/>
        <w:spacing w:after="60" w:before="0"/>
        <w:ind w:left="360"/>
      </w:pPr>
      <w:r>
        <w:rPr>
          <w:rFonts w:ascii="Calibri" w:hAnsi="Calibri"/>
          <w:b w:val="0"/>
          <w:i w:val="0"/>
          <w:color w:val="475569"/>
          <w:sz w:val="21"/>
        </w:rPr>
        <w:t>Security architecture (authentication, authorization, encryption)</w:t>
      </w:r>
    </w:p>
    <w:p>
      <w:pPr>
        <w:pStyle w:val="ListBullet"/>
        <w:spacing w:after="60" w:before="0"/>
        <w:ind w:left="360"/>
      </w:pPr>
      <w:r>
        <w:rPr>
          <w:rFonts w:ascii="Calibri" w:hAnsi="Calibri"/>
          <w:b w:val="0"/>
          <w:i w:val="0"/>
          <w:color w:val="475569"/>
          <w:sz w:val="21"/>
        </w:rPr>
        <w:t>Backup and disaster recovery architecture</w:t>
      </w:r>
    </w:p>
    <w:p>
      <w:pPr>
        <w:pStyle w:val="ListBullet"/>
        <w:spacing w:after="60" w:before="0"/>
        <w:ind w:left="360"/>
      </w:pPr>
      <w:r>
        <w:rPr>
          <w:rFonts w:ascii="Calibri" w:hAnsi="Calibri"/>
          <w:b w:val="0"/>
          <w:i w:val="0"/>
          <w:color w:val="475569"/>
          <w:sz w:val="21"/>
        </w:rPr>
        <w:t>CI/CD pipeline architecture</w:t>
      </w:r>
    </w:p>
    <w:p>
      <w:pPr>
        <w:pStyle w:val="ListBullet"/>
        <w:spacing w:after="60" w:before="0"/>
        <w:ind w:left="360"/>
      </w:pPr>
      <w:r>
        <w:rPr>
          <w:rFonts w:ascii="Calibri" w:hAnsi="Calibri"/>
          <w:b w:val="0"/>
          <w:i w:val="0"/>
          <w:color w:val="475569"/>
          <w:sz w:val="21"/>
        </w:rPr>
        <w:t>PCI DSS and SOC 2 Type 2 control mapping</w:t>
      </w:r>
    </w:p>
    <w:p>
      <w:pPr>
        <w:pStyle w:val="ListBullet"/>
        <w:spacing w:after="60" w:before="0"/>
        <w:ind w:left="360"/>
      </w:pPr>
      <w:r>
        <w:rPr>
          <w:rFonts w:ascii="Calibri" w:hAnsi="Calibri"/>
          <w:b w:val="0"/>
          <w:i w:val="0"/>
          <w:color w:val="475569"/>
          <w:sz w:val="21"/>
        </w:rPr>
        <w:t>Third-party service selection and integration design</w:t>
      </w:r>
    </w:p>
    <w:p>
      <w:pPr>
        <w:pStyle w:val="ListBullet"/>
        <w:spacing w:after="60" w:before="0"/>
        <w:ind w:left="360"/>
      </w:pPr>
      <w:r>
        <w:rPr>
          <w:rFonts w:ascii="Calibri" w:hAnsi="Calibri"/>
          <w:b w:val="0"/>
          <w:i w:val="0"/>
          <w:color w:val="475569"/>
          <w:sz w:val="21"/>
        </w:rPr>
        <w:t>API architecture design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4.2  Phase 1 Deliverables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6"/>
        <w:gridCol w:w="2976"/>
        <w:gridCol w:w="2976"/>
      </w:tblGrid>
      <w:tr>
        <w:tc>
          <w:tcPr>
            <w:tcW w:type="dxa" w:w="432"/>
            <w:shd w:val="clear" w:color="auto" w:fill="1D4ED8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#</w:t>
            </w:r>
          </w:p>
        </w:tc>
        <w:tc>
          <w:tcPr>
            <w:tcW w:type="dxa" w:w="5760"/>
            <w:shd w:val="clear" w:color="auto" w:fill="1D4ED8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Deliverable</w:t>
            </w:r>
          </w:p>
        </w:tc>
        <w:tc>
          <w:tcPr>
            <w:tcW w:type="dxa" w:w="2880"/>
            <w:shd w:val="clear" w:color="auto" w:fill="1D4ED8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Format</w:t>
            </w:r>
          </w:p>
        </w:tc>
      </w:tr>
      <w:tr>
        <w:tc>
          <w:tcPr>
            <w:tcW w:type="dxa" w:w="432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1</w:t>
            </w:r>
          </w:p>
        </w:tc>
        <w:tc>
          <w:tcPr>
            <w:tcW w:type="dxa" w:w="5760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Discovery Workshop Summary &amp; Current State Analysis</w:t>
            </w:r>
          </w:p>
        </w:tc>
        <w:tc>
          <w:tcPr>
            <w:tcW w:type="dxa" w:w="2880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PDF / Notion</w:t>
            </w:r>
          </w:p>
        </w:tc>
      </w:tr>
      <w:tr>
        <w:tc>
          <w:tcPr>
            <w:tcW w:type="dxa" w:w="432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2</w:t>
            </w:r>
          </w:p>
        </w:tc>
        <w:tc>
          <w:tcPr>
            <w:tcW w:type="dxa" w:w="5760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Persona Documentation (business and system personas)</w:t>
            </w:r>
          </w:p>
        </w:tc>
        <w:tc>
          <w:tcPr>
            <w:tcW w:type="dxa" w:w="2880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PDF / Notion</w:t>
            </w:r>
          </w:p>
        </w:tc>
      </w:tr>
      <w:tr>
        <w:tc>
          <w:tcPr>
            <w:tcW w:type="dxa" w:w="432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3</w:t>
            </w:r>
          </w:p>
        </w:tc>
        <w:tc>
          <w:tcPr>
            <w:tcW w:type="dxa" w:w="5760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Complete Product Backlog (Epics, Stories, Acceptance Criteria)</w:t>
            </w:r>
          </w:p>
        </w:tc>
        <w:tc>
          <w:tcPr>
            <w:tcW w:type="dxa" w:w="2880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PDF / Notion</w:t>
            </w:r>
          </w:p>
        </w:tc>
      </w:tr>
      <w:tr>
        <w:tc>
          <w:tcPr>
            <w:tcW w:type="dxa" w:w="432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4</w:t>
            </w:r>
          </w:p>
        </w:tc>
        <w:tc>
          <w:tcPr>
            <w:tcW w:type="dxa" w:w="5760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Functional Requirements Document (FRD)</w:t>
            </w:r>
          </w:p>
        </w:tc>
        <w:tc>
          <w:tcPr>
            <w:tcW w:type="dxa" w:w="2880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PDF</w:t>
            </w:r>
          </w:p>
        </w:tc>
      </w:tr>
      <w:tr>
        <w:tc>
          <w:tcPr>
            <w:tcW w:type="dxa" w:w="432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5</w:t>
            </w:r>
          </w:p>
        </w:tc>
        <w:tc>
          <w:tcPr>
            <w:tcW w:type="dxa" w:w="5760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Non-Functional Requirements &amp; Compliance Mapping</w:t>
            </w:r>
          </w:p>
        </w:tc>
        <w:tc>
          <w:tcPr>
            <w:tcW w:type="dxa" w:w="2880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PDF</w:t>
            </w:r>
          </w:p>
        </w:tc>
      </w:tr>
      <w:tr>
        <w:tc>
          <w:tcPr>
            <w:tcW w:type="dxa" w:w="432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6</w:t>
            </w:r>
          </w:p>
        </w:tc>
        <w:tc>
          <w:tcPr>
            <w:tcW w:type="dxa" w:w="5760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Data Model &amp; Entity Relationship Diagrams (ERD)</w:t>
            </w:r>
          </w:p>
        </w:tc>
        <w:tc>
          <w:tcPr>
            <w:tcW w:type="dxa" w:w="2880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PDF / Diagram</w:t>
            </w:r>
          </w:p>
        </w:tc>
      </w:tr>
      <w:tr>
        <w:tc>
          <w:tcPr>
            <w:tcW w:type="dxa" w:w="432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7</w:t>
            </w:r>
          </w:p>
        </w:tc>
        <w:tc>
          <w:tcPr>
            <w:tcW w:type="dxa" w:w="5760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RBAC Matrix</w:t>
            </w:r>
          </w:p>
        </w:tc>
        <w:tc>
          <w:tcPr>
            <w:tcW w:type="dxa" w:w="2880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PDF / Spreadsheet</w:t>
            </w:r>
          </w:p>
        </w:tc>
      </w:tr>
      <w:tr>
        <w:tc>
          <w:tcPr>
            <w:tcW w:type="dxa" w:w="432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8</w:t>
            </w:r>
          </w:p>
        </w:tc>
        <w:tc>
          <w:tcPr>
            <w:tcW w:type="dxa" w:w="5760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UX Wireframes — all primary flows</w:t>
            </w:r>
          </w:p>
        </w:tc>
        <w:tc>
          <w:tcPr>
            <w:tcW w:type="dxa" w:w="2880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Figma</w:t>
            </w:r>
          </w:p>
        </w:tc>
      </w:tr>
      <w:tr>
        <w:tc>
          <w:tcPr>
            <w:tcW w:type="dxa" w:w="432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9</w:t>
            </w:r>
          </w:p>
        </w:tc>
        <w:tc>
          <w:tcPr>
            <w:tcW w:type="dxa" w:w="5760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High-Fidelity UI Mockups — key screens</w:t>
            </w:r>
          </w:p>
        </w:tc>
        <w:tc>
          <w:tcPr>
            <w:tcW w:type="dxa" w:w="2880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Figma</w:t>
            </w:r>
          </w:p>
        </w:tc>
      </w:tr>
      <w:tr>
        <w:tc>
          <w:tcPr>
            <w:tcW w:type="dxa" w:w="432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10</w:t>
            </w:r>
          </w:p>
        </w:tc>
        <w:tc>
          <w:tcPr>
            <w:tcW w:type="dxa" w:w="5760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Interactive Prototype</w:t>
            </w:r>
          </w:p>
        </w:tc>
        <w:tc>
          <w:tcPr>
            <w:tcW w:type="dxa" w:w="2880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Figma (shareable link)</w:t>
            </w:r>
          </w:p>
        </w:tc>
      </w:tr>
      <w:tr>
        <w:tc>
          <w:tcPr>
            <w:tcW w:type="dxa" w:w="432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11</w:t>
            </w:r>
          </w:p>
        </w:tc>
        <w:tc>
          <w:tcPr>
            <w:tcW w:type="dxa" w:w="5760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Technical Architecture Document</w:t>
            </w:r>
          </w:p>
        </w:tc>
        <w:tc>
          <w:tcPr>
            <w:tcW w:type="dxa" w:w="2880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PDF</w:t>
            </w:r>
          </w:p>
        </w:tc>
      </w:tr>
      <w:tr>
        <w:tc>
          <w:tcPr>
            <w:tcW w:type="dxa" w:w="432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12</w:t>
            </w:r>
          </w:p>
        </w:tc>
        <w:tc>
          <w:tcPr>
            <w:tcW w:type="dxa" w:w="5760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Phase 2–8 Refined Scope, Sprint Plan &amp; Cost Estimate</w:t>
            </w:r>
          </w:p>
        </w:tc>
        <w:tc>
          <w:tcPr>
            <w:tcW w:type="dxa" w:w="2880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PDF</w:t>
            </w:r>
          </w:p>
        </w:tc>
      </w:tr>
    </w:tbl>
    <w:p>
      <w:pPr>
        <w:spacing w:after="80"/>
      </w:pP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4.3  Investment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464"/>
        <w:gridCol w:w="4464"/>
      </w:tblGrid>
      <w:tr>
        <w:tc>
          <w:tcPr>
            <w:tcW w:type="dxa" w:w="3312"/>
            <w:shd w:val="clear" w:color="auto" w:fill="1D4ED8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Item</w:t>
            </w:r>
          </w:p>
        </w:tc>
        <w:tc>
          <w:tcPr>
            <w:tcW w:type="dxa" w:w="5760"/>
            <w:shd w:val="clear" w:color="auto" w:fill="1D4ED8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Detail</w:t>
            </w:r>
          </w:p>
        </w:tc>
      </w:tr>
      <w:tr>
        <w:tc>
          <w:tcPr>
            <w:tcW w:type="dxa" w:w="3312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0F172A"/>
                <w:sz w:val="19"/>
              </w:rPr>
              <w:t>Phase 1 Total</w:t>
            </w:r>
          </w:p>
        </w:tc>
        <w:tc>
          <w:tcPr>
            <w:tcW w:type="dxa" w:w="5760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1D4ED8"/>
                <w:sz w:val="19"/>
              </w:rPr>
              <w:t>$5,000.00 USD</w:t>
            </w:r>
          </w:p>
        </w:tc>
      </w:tr>
      <w:tr>
        <w:tc>
          <w:tcPr>
            <w:tcW w:type="dxa" w:w="3312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Pricing Model</w:t>
            </w:r>
          </w:p>
        </w:tc>
        <w:tc>
          <w:tcPr>
            <w:tcW w:type="dxa" w:w="5760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Flat-rate delivery (not time-bound)</w:t>
            </w:r>
          </w:p>
        </w:tc>
      </w:tr>
      <w:tr>
        <w:tc>
          <w:tcPr>
            <w:tcW w:type="dxa" w:w="3312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Payment Terms</w:t>
            </w:r>
          </w:p>
        </w:tc>
        <w:tc>
          <w:tcPr>
            <w:tcW w:type="dxa" w:w="5760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100% due at project start, prior to commencement</w:t>
            </w:r>
          </w:p>
        </w:tc>
      </w:tr>
      <w:tr>
        <w:tc>
          <w:tcPr>
            <w:tcW w:type="dxa" w:w="3312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Accepted Payment Methods</w:t>
            </w:r>
          </w:p>
        </w:tc>
        <w:tc>
          <w:tcPr>
            <w:tcW w:type="dxa" w:w="5760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ACH, Wire Transfer, Check, Zelle</w:t>
            </w:r>
          </w:p>
        </w:tc>
      </w:tr>
    </w:tbl>
    <w:p>
      <w:pPr>
        <w:spacing w:after="80"/>
      </w:pP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4.4  Revisions</w:t>
      </w:r>
    </w:p>
    <w:p>
      <w:pPr>
        <w:spacing w:after="120" w:before="0"/>
      </w:pPr>
      <w:r>
        <w:rPr>
          <w:rFonts w:ascii="Calibri" w:hAnsi="Calibri"/>
          <w:b w:val="0"/>
          <w:i w:val="0"/>
          <w:color w:val="475569"/>
          <w:sz w:val="21"/>
        </w:rPr>
        <w:t>Phase 1 includes up to two (2) rounds of revisions on wireframes and mockups following initial delivery. Additional revision rounds may be requested at a rate of $175.00 per hour.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4.5  Client Responsibilities</w:t>
      </w:r>
    </w:p>
    <w:p>
      <w:pPr>
        <w:pStyle w:val="ListBullet"/>
        <w:spacing w:after="60" w:before="0"/>
        <w:ind w:left="360"/>
      </w:pPr>
      <w:r>
        <w:rPr>
          <w:rFonts w:ascii="Calibri" w:hAnsi="Calibri"/>
          <w:b w:val="0"/>
          <w:i w:val="0"/>
          <w:color w:val="475569"/>
          <w:sz w:val="21"/>
        </w:rPr>
        <w:t>Provide access to at least one designated stakeholder per department for discovery sessions</w:t>
      </w:r>
    </w:p>
    <w:p>
      <w:pPr>
        <w:pStyle w:val="ListBullet"/>
        <w:spacing w:after="60" w:before="0"/>
        <w:ind w:left="360"/>
      </w:pPr>
      <w:r>
        <w:rPr>
          <w:rFonts w:ascii="Calibri" w:hAnsi="Calibri"/>
          <w:b w:val="0"/>
          <w:i w:val="0"/>
          <w:color w:val="475569"/>
          <w:sz w:val="21"/>
        </w:rPr>
        <w:t>Provide read-only access to Sage 100 data and report samples as needed</w:t>
      </w:r>
    </w:p>
    <w:p>
      <w:pPr>
        <w:pStyle w:val="ListBullet"/>
        <w:spacing w:after="60" w:before="0"/>
        <w:ind w:left="360"/>
      </w:pPr>
      <w:r>
        <w:rPr>
          <w:rFonts w:ascii="Calibri" w:hAnsi="Calibri"/>
          <w:b w:val="0"/>
          <w:i w:val="0"/>
          <w:color w:val="475569"/>
          <w:sz w:val="21"/>
        </w:rPr>
        <w:t>Respond to document review requests within five (5) business days</w:t>
      </w:r>
    </w:p>
    <w:p>
      <w:pPr>
        <w:pStyle w:val="ListBullet"/>
        <w:spacing w:after="60" w:before="0"/>
        <w:ind w:left="360"/>
      </w:pPr>
      <w:r>
        <w:rPr>
          <w:rFonts w:ascii="Calibri" w:hAnsi="Calibri"/>
          <w:b w:val="0"/>
          <w:i w:val="0"/>
          <w:color w:val="475569"/>
          <w:sz w:val="21"/>
        </w:rPr>
        <w:t>Consolidate internal feedback before submitting to the project team</w:t>
      </w:r>
    </w:p>
    <w:p>
      <w:pPr>
        <w:pStyle w:val="ListBullet"/>
        <w:spacing w:after="60" w:before="0"/>
        <w:ind w:left="360"/>
      </w:pPr>
      <w:r>
        <w:rPr>
          <w:rFonts w:ascii="Calibri" w:hAnsi="Calibri"/>
          <w:b w:val="0"/>
          <w:i w:val="0"/>
          <w:color w:val="475569"/>
          <w:sz w:val="21"/>
        </w:rPr>
        <w:t>Provide existing brand assets (logo, style guide, brand colors)</w:t>
      </w:r>
    </w:p>
    <w:p>
      <w:r>
        <w:br w:type="page"/>
      </w:r>
    </w:p>
    <w:p>
      <w:pPr>
        <w:keepNext/>
        <w:spacing w:before="360" w:after="160"/>
        <w:pBdr>
          <w:bottom w:val="single" w:sz="6" w:color="1D4ED8"/>
        </w:pBdr>
      </w:pPr>
      <w:r>
        <w:rPr>
          <w:rFonts w:ascii="Calibri" w:hAnsi="Calibri"/>
          <w:b/>
          <w:color w:val="0F172A"/>
          <w:sz w:val="36"/>
        </w:rPr>
        <w:t>5.  Phase 2–8 — Development Overview</w:t>
      </w:r>
    </w:p>
    <w:p>
      <w:pPr>
        <w:spacing w:after="120" w:before="0"/>
      </w:pPr>
      <w:r>
        <w:rPr>
          <w:rFonts w:ascii="Calibri" w:hAnsi="Calibri"/>
          <w:b w:val="0"/>
          <w:i w:val="0"/>
          <w:color w:val="475569"/>
          <w:sz w:val="21"/>
        </w:rPr>
        <w:t>Development phases will be executed using Agile sprint methodology, with each sprint delivering working, testable software. Sprint details will be formalized in a Phase 2+ SOW amendment following client approval of Phase 1 deliverables.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5.1  Sprint Model</w:t>
      </w:r>
    </w:p>
    <w:p>
      <w:pPr>
        <w:pStyle w:val="ListBullet"/>
        <w:spacing w:after="60" w:before="0"/>
        <w:ind w:left="360"/>
      </w:pPr>
      <w:r>
        <w:rPr>
          <w:rFonts w:ascii="Calibri" w:hAnsi="Calibri"/>
          <w:b w:val="0"/>
          <w:i w:val="0"/>
          <w:color w:val="475569"/>
          <w:sz w:val="21"/>
        </w:rPr>
        <w:t>Sprint duration: 2 weeks</w:t>
      </w:r>
    </w:p>
    <w:p>
      <w:pPr>
        <w:pStyle w:val="ListBullet"/>
        <w:spacing w:after="60" w:before="0"/>
        <w:ind w:left="360"/>
      </w:pPr>
      <w:r>
        <w:rPr>
          <w:rFonts w:ascii="Calibri" w:hAnsi="Calibri"/>
          <w:b w:val="0"/>
          <w:i w:val="0"/>
          <w:color w:val="475569"/>
          <w:sz w:val="21"/>
        </w:rPr>
        <w:t>Each sprint includes: planning, development, testing, client demo, retrospective</w:t>
      </w:r>
    </w:p>
    <w:p>
      <w:pPr>
        <w:pStyle w:val="ListBullet"/>
        <w:spacing w:after="60" w:before="0"/>
        <w:ind w:left="360"/>
      </w:pPr>
      <w:r>
        <w:rPr>
          <w:rFonts w:ascii="Calibri" w:hAnsi="Calibri"/>
          <w:b w:val="0"/>
          <w:i w:val="0"/>
          <w:color w:val="475569"/>
          <w:sz w:val="21"/>
        </w:rPr>
        <w:t>All sprints will include automated test coverage</w:t>
      </w:r>
    </w:p>
    <w:p>
      <w:pPr>
        <w:pStyle w:val="ListBullet"/>
        <w:spacing w:after="60" w:before="0"/>
        <w:ind w:left="360"/>
      </w:pPr>
      <w:r>
        <w:rPr>
          <w:rFonts w:ascii="Calibri" w:hAnsi="Calibri"/>
          <w:b w:val="0"/>
          <w:i w:val="0"/>
          <w:color w:val="475569"/>
          <w:sz w:val="21"/>
        </w:rPr>
        <w:t>A staging environment will be maintained throughout development</w:t>
      </w:r>
    </w:p>
    <w:p>
      <w:pPr>
        <w:pStyle w:val="ListBullet"/>
        <w:spacing w:after="60" w:before="0"/>
        <w:ind w:left="360"/>
      </w:pPr>
      <w:r>
        <w:rPr>
          <w:rFonts w:ascii="Calibri" w:hAnsi="Calibri"/>
          <w:b w:val="0"/>
          <w:i w:val="0"/>
          <w:color w:val="475569"/>
          <w:sz w:val="21"/>
        </w:rPr>
        <w:t>Production deployments will follow sprint acceptance by the client</w:t>
      </w:r>
    </w:p>
    <w:p>
      <w:pPr>
        <w:keepNext/>
        <w:spacing w:before="360" w:after="160"/>
      </w:pPr>
      <w:r>
        <w:rPr>
          <w:rFonts w:ascii="Calibri" w:hAnsi="Calibri"/>
          <w:b/>
          <w:color w:val="0F172A"/>
          <w:sz w:val="28"/>
        </w:rPr>
        <w:t>5.2  Module Development Roadmap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976"/>
        <w:gridCol w:w="2976"/>
        <w:gridCol w:w="2976"/>
      </w:tblGrid>
      <w:tr>
        <w:tc>
          <w:tcPr>
            <w:tcW w:type="dxa" w:w="1008"/>
            <w:shd w:val="clear" w:color="auto" w:fill="1D4ED8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Phase</w:t>
            </w:r>
          </w:p>
        </w:tc>
        <w:tc>
          <w:tcPr>
            <w:tcW w:type="dxa" w:w="2160"/>
            <w:shd w:val="clear" w:color="auto" w:fill="1D4ED8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Sprint Group</w:t>
            </w:r>
          </w:p>
        </w:tc>
        <w:tc>
          <w:tcPr>
            <w:tcW w:type="dxa" w:w="5904"/>
            <w:shd w:val="clear" w:color="auto" w:fill="1D4ED8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Modules &amp; Deliverables</w:t>
            </w:r>
          </w:p>
        </w:tc>
      </w:tr>
      <w:tr>
        <w:tc>
          <w:tcPr>
            <w:tcW w:type="dxa" w:w="1008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Phase 2</w:t>
            </w:r>
          </w:p>
        </w:tc>
        <w:tc>
          <w:tcPr>
            <w:tcW w:type="dxa" w:w="2160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Core Foundation</w:t>
            </w:r>
          </w:p>
        </w:tc>
        <w:tc>
          <w:tcPr>
            <w:tcW w:type="dxa" w:w="5904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Infrastructure, hosting, CI/CD, authentication (SSO, MFA), user &amp; role management, audit logging, email notifications, backup system, admin console</w:t>
            </w:r>
          </w:p>
        </w:tc>
      </w:tr>
      <w:tr>
        <w:tc>
          <w:tcPr>
            <w:tcW w:type="dxa" w:w="1008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Phase 3</w:t>
            </w:r>
          </w:p>
        </w:tc>
        <w:tc>
          <w:tcPr>
            <w:tcW w:type="dxa" w:w="2160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Financial Suite</w:t>
            </w:r>
          </w:p>
        </w:tc>
        <w:tc>
          <w:tcPr>
            <w:tcW w:type="dxa" w:w="5904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General Ledger, Accounts Receivable, Accounts Payable, bank reconciliation, tax management, financial reporting (P&amp;L, Balance Sheet, Cash Flow)</w:t>
            </w:r>
          </w:p>
        </w:tc>
      </w:tr>
      <w:tr>
        <w:tc>
          <w:tcPr>
            <w:tcW w:type="dxa" w:w="1008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Phase 4</w:t>
            </w:r>
          </w:p>
        </w:tc>
        <w:tc>
          <w:tcPr>
            <w:tcW w:type="dxa" w:w="2160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CRM &amp; Sales</w:t>
            </w:r>
          </w:p>
        </w:tc>
        <w:tc>
          <w:tcPr>
            <w:tcW w:type="dxa" w:w="5904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Contact &amp; account management, opportunity pipeline, quoting &amp; estimates, order management, customer portal, sales reporting</w:t>
            </w:r>
          </w:p>
        </w:tc>
      </w:tr>
      <w:tr>
        <w:tc>
          <w:tcPr>
            <w:tcW w:type="dxa" w:w="1008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Phase 5</w:t>
            </w:r>
          </w:p>
        </w:tc>
        <w:tc>
          <w:tcPr>
            <w:tcW w:type="dxa" w:w="2160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Inventory, POS &amp; eCommerce</w:t>
            </w:r>
          </w:p>
        </w:tc>
        <w:tc>
          <w:tcPr>
            <w:tcW w:type="dxa" w:w="5904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Product catalog, inventory tracking, purchase orders, warehouse management, POS terminal, eCommerce storefront, checkout, shipping &amp; fulfillment</w:t>
            </w:r>
          </w:p>
        </w:tc>
      </w:tr>
      <w:tr>
        <w:tc>
          <w:tcPr>
            <w:tcW w:type="dxa" w:w="1008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Phase 6</w:t>
            </w:r>
          </w:p>
        </w:tc>
        <w:tc>
          <w:tcPr>
            <w:tcW w:type="dxa" w:w="2160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Project &amp; Job Mgmt</w:t>
            </w:r>
          </w:p>
        </w:tc>
        <w:tc>
          <w:tcPr>
            <w:tcW w:type="dxa" w:w="5904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Job creation &amp; tracking, milestones, resource &amp; time tracking, job costing, art/proof approval workflow, production scheduling</w:t>
            </w:r>
          </w:p>
        </w:tc>
      </w:tr>
      <w:tr>
        <w:tc>
          <w:tcPr>
            <w:tcW w:type="dxa" w:w="1008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Phase 7</w:t>
            </w:r>
          </w:p>
        </w:tc>
        <w:tc>
          <w:tcPr>
            <w:tcW w:type="dxa" w:w="2160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Reporting &amp; Analytics</w:t>
            </w:r>
          </w:p>
        </w:tc>
        <w:tc>
          <w:tcPr>
            <w:tcW w:type="dxa" w:w="5904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Executive dashboard, department dashboards, custom report builder, scheduled delivery, KPI tracking</w:t>
            </w:r>
          </w:p>
        </w:tc>
      </w:tr>
      <w:tr>
        <w:tc>
          <w:tcPr>
            <w:tcW w:type="dxa" w:w="1008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Phase 8</w:t>
            </w:r>
          </w:p>
        </w:tc>
        <w:tc>
          <w:tcPr>
            <w:tcW w:type="dxa" w:w="2160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Compliance &amp; Launch</w:t>
            </w:r>
          </w:p>
        </w:tc>
        <w:tc>
          <w:tcPr>
            <w:tcW w:type="dxa" w:w="5904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PCI DSS audit, SOC 2 Type 2 controls, penetration testing, performance testing, disaster recovery drill, production launch, training, 30-day hypercare</w:t>
            </w:r>
          </w:p>
        </w:tc>
      </w:tr>
    </w:tbl>
    <w:p>
      <w:pPr>
        <w:spacing w:after="80"/>
      </w:pPr>
    </w:p>
    <w:p>
      <w:pPr>
        <w:keepNext/>
        <w:spacing w:before="360" w:after="160"/>
        <w:pBdr>
          <w:bottom w:val="single" w:sz="6" w:color="1D4ED8"/>
        </w:pBdr>
      </w:pPr>
      <w:r>
        <w:rPr>
          <w:rFonts w:ascii="Calibri" w:hAnsi="Calibri"/>
          <w:b/>
          <w:color w:val="0F172A"/>
          <w:sz w:val="36"/>
        </w:rPr>
        <w:t>6.  Platform Requirements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464"/>
        <w:gridCol w:w="4464"/>
      </w:tblGrid>
      <w:tr>
        <w:tc>
          <w:tcPr>
            <w:tcW w:type="dxa" w:w="2880"/>
            <w:shd w:val="clear" w:color="auto" w:fill="1D4ED8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Requirement</w:t>
            </w:r>
          </w:p>
        </w:tc>
        <w:tc>
          <w:tcPr>
            <w:tcW w:type="dxa" w:w="6192"/>
            <w:shd w:val="clear" w:color="auto" w:fill="1D4ED8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Specification</w:t>
            </w:r>
          </w:p>
        </w:tc>
      </w:tr>
      <w:tr>
        <w:tc>
          <w:tcPr>
            <w:tcW w:type="dxa" w:w="2880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Hosting</w:t>
            </w:r>
          </w:p>
        </w:tc>
        <w:tc>
          <w:tcPr>
            <w:tcW w:type="dxa" w:w="6192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Cloud-hosted, internet-accessible via browser</w:t>
            </w:r>
          </w:p>
        </w:tc>
      </w:tr>
      <w:tr>
        <w:tc>
          <w:tcPr>
            <w:tcW w:type="dxa" w:w="2880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Uptime Target</w:t>
            </w:r>
          </w:p>
        </w:tc>
        <w:tc>
          <w:tcPr>
            <w:tcW w:type="dxa" w:w="6192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99.9% or greater</w:t>
            </w:r>
          </w:p>
        </w:tc>
      </w:tr>
      <w:tr>
        <w:tc>
          <w:tcPr>
            <w:tcW w:type="dxa" w:w="2880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Security Compliance</w:t>
            </w:r>
          </w:p>
        </w:tc>
        <w:tc>
          <w:tcPr>
            <w:tcW w:type="dxa" w:w="6192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PCI DSS Level 1, SOC 2 Type 2 certification path</w:t>
            </w:r>
          </w:p>
        </w:tc>
      </w:tr>
      <w:tr>
        <w:tc>
          <w:tcPr>
            <w:tcW w:type="dxa" w:w="2880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Authentication</w:t>
            </w:r>
          </w:p>
        </w:tc>
        <w:tc>
          <w:tcPr>
            <w:tcW w:type="dxa" w:w="6192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Multi-factor authentication (MFA), SSO support</w:t>
            </w:r>
          </w:p>
        </w:tc>
      </w:tr>
      <w:tr>
        <w:tc>
          <w:tcPr>
            <w:tcW w:type="dxa" w:w="2880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Data Backup</w:t>
            </w:r>
          </w:p>
        </w:tc>
        <w:tc>
          <w:tcPr>
            <w:tcW w:type="dxa" w:w="6192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Automated daily backups, point-in-time recovery, off-site redundancy</w:t>
            </w:r>
          </w:p>
        </w:tc>
      </w:tr>
      <w:tr>
        <w:tc>
          <w:tcPr>
            <w:tcW w:type="dxa" w:w="2880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Disaster Recovery</w:t>
            </w:r>
          </w:p>
        </w:tc>
        <w:tc>
          <w:tcPr>
            <w:tcW w:type="dxa" w:w="6192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Documented RTO ≤ 4 hours, RPO ≤ 1 hour</w:t>
            </w:r>
          </w:p>
        </w:tc>
      </w:tr>
      <w:tr>
        <w:tc>
          <w:tcPr>
            <w:tcW w:type="dxa" w:w="2880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Access Control</w:t>
            </w:r>
          </w:p>
        </w:tc>
        <w:tc>
          <w:tcPr>
            <w:tcW w:type="dxa" w:w="6192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Role-based access control (RBAC), least-privilege model</w:t>
            </w:r>
          </w:p>
        </w:tc>
      </w:tr>
      <w:tr>
        <w:tc>
          <w:tcPr>
            <w:tcW w:type="dxa" w:w="2880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Audit Logging</w:t>
            </w:r>
          </w:p>
        </w:tc>
        <w:tc>
          <w:tcPr>
            <w:tcW w:type="dxa" w:w="6192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Full user activity audit trail, tamper-evident, 3-year retention</w:t>
            </w:r>
          </w:p>
        </w:tc>
      </w:tr>
      <w:tr>
        <w:tc>
          <w:tcPr>
            <w:tcW w:type="dxa" w:w="2880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Data Encryption</w:t>
            </w:r>
          </w:p>
        </w:tc>
        <w:tc>
          <w:tcPr>
            <w:tcW w:type="dxa" w:w="6192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TLS 1.2+ in transit, AES-256 at rest</w:t>
            </w:r>
          </w:p>
        </w:tc>
      </w:tr>
      <w:tr>
        <w:tc>
          <w:tcPr>
            <w:tcW w:type="dxa" w:w="2880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Notifications</w:t>
            </w:r>
          </w:p>
        </w:tc>
        <w:tc>
          <w:tcPr>
            <w:tcW w:type="dxa" w:w="6192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Email notification system (transactional and alert-based)</w:t>
            </w:r>
          </w:p>
        </w:tc>
      </w:tr>
      <w:tr>
        <w:tc>
          <w:tcPr>
            <w:tcW w:type="dxa" w:w="2880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Browser Support</w:t>
            </w:r>
          </w:p>
        </w:tc>
        <w:tc>
          <w:tcPr>
            <w:tcW w:type="dxa" w:w="6192"/>
            <w:shd w:val="clear" w:color="auto" w:fill="F1F5F9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Chrome, Firefox, Safari, Edge (current versions)</w:t>
            </w:r>
          </w:p>
        </w:tc>
      </w:tr>
      <w:tr>
        <w:tc>
          <w:tcPr>
            <w:tcW w:type="dxa" w:w="2880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Responsive Design</w:t>
            </w:r>
          </w:p>
        </w:tc>
        <w:tc>
          <w:tcPr>
            <w:tcW w:type="dxa" w:w="6192"/>
            <w:shd w:val="clear" w:color="auto" w:fill="FFFFFF"/>
            <w:vAlign w:val="center"/>
          </w:tcPr>
          <w:p>
            <w:pPr>
              <w:spacing w:before="80" w:after="80"/>
            </w:pPr>
            <w:r>
              <w:rPr>
                <w:rFonts w:ascii="Calibri" w:hAnsi="Calibri"/>
                <w:b w:val="0"/>
                <w:i w:val="0"/>
                <w:color w:val="475569"/>
                <w:sz w:val="19"/>
              </w:rPr>
              <w:t>Mobile-optimized web interface</w:t>
            </w:r>
          </w:p>
        </w:tc>
      </w:tr>
    </w:tbl>
    <w:p>
      <w:pPr>
        <w:spacing w:after="80"/>
      </w:pPr>
    </w:p>
    <w:p>
      <w:pPr>
        <w:keepNext/>
        <w:spacing w:before="360" w:after="160"/>
        <w:pBdr>
          <w:bottom w:val="single" w:sz="6" w:color="1D4ED8"/>
        </w:pBdr>
      </w:pPr>
      <w:r>
        <w:rPr>
          <w:rFonts w:ascii="Calibri" w:hAnsi="Calibri"/>
          <w:b/>
          <w:color w:val="0F172A"/>
          <w:sz w:val="36"/>
        </w:rPr>
        <w:t>7.  Assumptions</w:t>
      </w:r>
    </w:p>
    <w:p>
      <w:pPr>
        <w:spacing w:after="120" w:before="0"/>
      </w:pPr>
      <w:r>
        <w:rPr>
          <w:rFonts w:ascii="Calibri" w:hAnsi="Calibri"/>
          <w:b w:val="0"/>
          <w:i w:val="0"/>
          <w:color w:val="475569"/>
          <w:sz w:val="21"/>
        </w:rPr>
        <w:t>1.  Great Mountain West will provide a dedicated internal point of contact for the duration of the project.</w:t>
      </w:r>
    </w:p>
    <w:p>
      <w:pPr>
        <w:spacing w:after="120" w:before="0"/>
      </w:pPr>
      <w:r>
        <w:rPr>
          <w:rFonts w:ascii="Calibri" w:hAnsi="Calibri"/>
          <w:b w:val="0"/>
          <w:i w:val="0"/>
          <w:color w:val="475569"/>
          <w:sz w:val="21"/>
        </w:rPr>
        <w:t>2.  All stakeholder availability required for Phase 1 workshops will be provided within four (4) weeks of project start.</w:t>
      </w:r>
    </w:p>
    <w:p>
      <w:pPr>
        <w:spacing w:after="120" w:before="0"/>
      </w:pPr>
      <w:r>
        <w:rPr>
          <w:rFonts w:ascii="Calibri" w:hAnsi="Calibri"/>
          <w:b w:val="0"/>
          <w:i w:val="0"/>
          <w:color w:val="475569"/>
          <w:sz w:val="21"/>
        </w:rPr>
        <w:t>3.  Existing Sage 100 data export and migration is not included in this SOW unless explicitly added as a line item following Phase 1 assessment.</w:t>
      </w:r>
    </w:p>
    <w:p>
      <w:pPr>
        <w:spacing w:after="120" w:before="0"/>
      </w:pPr>
      <w:r>
        <w:rPr>
          <w:rFonts w:ascii="Calibri" w:hAnsi="Calibri"/>
          <w:b w:val="0"/>
          <w:i w:val="0"/>
          <w:color w:val="475569"/>
          <w:sz w:val="21"/>
        </w:rPr>
        <w:t>4.  Third-party software licenses (payment gateway, email provider, hosting) are not included and will be procured separately.</w:t>
      </w:r>
    </w:p>
    <w:p>
      <w:pPr>
        <w:spacing w:after="120" w:before="0"/>
      </w:pPr>
      <w:r>
        <w:rPr>
          <w:rFonts w:ascii="Calibri" w:hAnsi="Calibri"/>
          <w:b w:val="0"/>
          <w:i w:val="0"/>
          <w:color w:val="475569"/>
          <w:sz w:val="21"/>
        </w:rPr>
        <w:t>5.  Domain name, SSL certificates, and DNS management for the new platform are the responsibility of the client unless otherwise agreed.</w:t>
      </w:r>
    </w:p>
    <w:p>
      <w:pPr>
        <w:spacing w:after="120" w:before="0"/>
      </w:pPr>
      <w:r>
        <w:rPr>
          <w:rFonts w:ascii="Calibri" w:hAnsi="Calibri"/>
          <w:b w:val="0"/>
          <w:i w:val="0"/>
          <w:color w:val="475569"/>
          <w:sz w:val="21"/>
        </w:rPr>
        <w:t>6.  The client will designate a single feedback consolidator per department to prevent conflicting direction.</w:t>
      </w:r>
    </w:p>
    <w:p>
      <w:pPr>
        <w:spacing w:after="120" w:before="0"/>
      </w:pPr>
      <w:r>
        <w:rPr>
          <w:rFonts w:ascii="Calibri" w:hAnsi="Calibri"/>
          <w:b w:val="0"/>
          <w:i w:val="0"/>
          <w:color w:val="475569"/>
          <w:sz w:val="21"/>
        </w:rPr>
        <w:t>7.  Phase 2–8 pricing is not guaranteed and will be subject to change based on Phase 1 findings.</w:t>
      </w:r>
    </w:p>
    <w:p>
      <w:pPr>
        <w:keepNext/>
        <w:spacing w:before="360" w:after="160"/>
        <w:pBdr>
          <w:bottom w:val="single" w:sz="6" w:color="1D4ED8"/>
        </w:pBdr>
      </w:pPr>
      <w:r>
        <w:rPr>
          <w:rFonts w:ascii="Calibri" w:hAnsi="Calibri"/>
          <w:b/>
          <w:color w:val="0F172A"/>
          <w:sz w:val="36"/>
        </w:rPr>
        <w:t>8.  Exclusions</w:t>
      </w:r>
    </w:p>
    <w:p>
      <w:pPr>
        <w:pStyle w:val="ListBullet"/>
        <w:spacing w:after="60" w:before="0"/>
        <w:ind w:left="360"/>
      </w:pPr>
      <w:r>
        <w:rPr>
          <w:rFonts w:ascii="Calibri" w:hAnsi="Calibri"/>
          <w:b w:val="0"/>
          <w:i w:val="0"/>
          <w:color w:val="475569"/>
          <w:sz w:val="21"/>
        </w:rPr>
        <w:t>Data migration from Sage 100 to the new platform</w:t>
      </w:r>
    </w:p>
    <w:p>
      <w:pPr>
        <w:pStyle w:val="ListBullet"/>
        <w:spacing w:after="60" w:before="0"/>
        <w:ind w:left="360"/>
      </w:pPr>
      <w:r>
        <w:rPr>
          <w:rFonts w:ascii="Calibri" w:hAnsi="Calibri"/>
          <w:b w:val="0"/>
          <w:i w:val="0"/>
          <w:color w:val="475569"/>
          <w:sz w:val="21"/>
        </w:rPr>
        <w:t>Legacy system decommissioning</w:t>
      </w:r>
    </w:p>
    <w:p>
      <w:pPr>
        <w:pStyle w:val="ListBullet"/>
        <w:spacing w:after="60" w:before="0"/>
        <w:ind w:left="360"/>
      </w:pPr>
      <w:r>
        <w:rPr>
          <w:rFonts w:ascii="Calibri" w:hAnsi="Calibri"/>
          <w:b w:val="0"/>
          <w:i w:val="0"/>
          <w:color w:val="475569"/>
          <w:sz w:val="21"/>
        </w:rPr>
        <w:t>Hardware procurement</w:t>
      </w:r>
    </w:p>
    <w:p>
      <w:pPr>
        <w:pStyle w:val="ListBullet"/>
        <w:spacing w:after="60" w:before="0"/>
        <w:ind w:left="360"/>
      </w:pPr>
      <w:r>
        <w:rPr>
          <w:rFonts w:ascii="Calibri" w:hAnsi="Calibri"/>
          <w:b w:val="0"/>
          <w:i w:val="0"/>
          <w:color w:val="475569"/>
          <w:sz w:val="21"/>
        </w:rPr>
        <w:t>Network or physical infrastructure</w:t>
      </w:r>
    </w:p>
    <w:p>
      <w:pPr>
        <w:pStyle w:val="ListBullet"/>
        <w:spacing w:after="60" w:before="0"/>
        <w:ind w:left="360"/>
      </w:pPr>
      <w:r>
        <w:rPr>
          <w:rFonts w:ascii="Calibri" w:hAnsi="Calibri"/>
          <w:b w:val="0"/>
          <w:i w:val="0"/>
          <w:color w:val="475569"/>
          <w:sz w:val="21"/>
        </w:rPr>
        <w:t>Custom integrations not identified during Phase 1</w:t>
      </w:r>
    </w:p>
    <w:p>
      <w:pPr>
        <w:pStyle w:val="ListBullet"/>
        <w:spacing w:after="60" w:before="0"/>
        <w:ind w:left="360"/>
      </w:pPr>
      <w:r>
        <w:rPr>
          <w:rFonts w:ascii="Calibri" w:hAnsi="Calibri"/>
          <w:b w:val="0"/>
          <w:i w:val="0"/>
          <w:color w:val="475569"/>
          <w:sz w:val="21"/>
        </w:rPr>
        <w:t>Mobile native applications (iOS/Android)</w:t>
      </w:r>
    </w:p>
    <w:p>
      <w:pPr>
        <w:pStyle w:val="ListBullet"/>
        <w:spacing w:after="60" w:before="0"/>
        <w:ind w:left="360"/>
      </w:pPr>
      <w:r>
        <w:rPr>
          <w:rFonts w:ascii="Calibri" w:hAnsi="Calibri"/>
          <w:b w:val="0"/>
          <w:i w:val="0"/>
          <w:color w:val="475569"/>
          <w:sz w:val="21"/>
        </w:rPr>
        <w:t>Ongoing managed hosting or support (separate maintenance agreement)</w:t>
      </w:r>
    </w:p>
    <w:p>
      <w:pPr>
        <w:pStyle w:val="ListBullet"/>
        <w:spacing w:after="60" w:before="0"/>
        <w:ind w:left="360"/>
      </w:pPr>
      <w:r>
        <w:rPr>
          <w:rFonts w:ascii="Calibri" w:hAnsi="Calibri"/>
          <w:b w:val="0"/>
          <w:i w:val="0"/>
          <w:color w:val="475569"/>
          <w:sz w:val="21"/>
        </w:rPr>
        <w:t>End-user training beyond the hypercare period</w:t>
      </w:r>
    </w:p>
    <w:p>
      <w:pPr>
        <w:keepNext/>
        <w:spacing w:before="360" w:after="160"/>
        <w:pBdr>
          <w:bottom w:val="single" w:sz="6" w:color="1D4ED8"/>
        </w:pBdr>
      </w:pPr>
      <w:r>
        <w:rPr>
          <w:rFonts w:ascii="Calibri" w:hAnsi="Calibri"/>
          <w:b/>
          <w:color w:val="0F172A"/>
          <w:sz w:val="36"/>
        </w:rPr>
        <w:t>9.  Out-of-Scope &amp; Change Order Rate</w:t>
      </w:r>
    </w:p>
    <w:p>
      <w:pPr>
        <w:spacing w:after="120" w:before="0"/>
      </w:pPr>
      <w:r>
        <w:rPr>
          <w:rFonts w:ascii="Calibri" w:hAnsi="Calibri"/>
          <w:b w:val="0"/>
          <w:i w:val="0"/>
          <w:color w:val="475569"/>
          <w:sz w:val="21"/>
        </w:rPr>
        <w:t>Work requested outside the defined scope of this SOW will be handled via a written Change Order. Change orders include a revised cost and timeline estimate and must be approved by both parties before work begins. Out-of-scope work is billed at $175.00 per hour.</w:t>
      </w:r>
    </w:p>
    <w:p>
      <w:pPr>
        <w:keepNext/>
        <w:spacing w:before="360" w:after="160"/>
        <w:pBdr>
          <w:bottom w:val="single" w:sz="6" w:color="1D4ED8"/>
        </w:pBdr>
      </w:pPr>
      <w:r>
        <w:rPr>
          <w:rFonts w:ascii="Calibri" w:hAnsi="Calibri"/>
          <w:b/>
          <w:color w:val="0F172A"/>
          <w:sz w:val="36"/>
        </w:rPr>
        <w:t>10.  Intellectual Property</w:t>
      </w:r>
    </w:p>
    <w:p>
      <w:pPr>
        <w:spacing w:after="120" w:before="0"/>
      </w:pPr>
      <w:r>
        <w:rPr>
          <w:rFonts w:ascii="Calibri" w:hAnsi="Calibri"/>
          <w:b w:val="0"/>
          <w:i w:val="0"/>
          <w:color w:val="475569"/>
          <w:sz w:val="21"/>
        </w:rPr>
        <w:t>Upon full payment for each phase, Great Mountain West shall own all custom code, designs, and documentation produced specifically for this project. Christopher Wall retains rights to any pre-existing frameworks, libraries, tools, or methodologies used in delivery.</w:t>
      </w:r>
    </w:p>
    <w:p>
      <w:pPr>
        <w:keepNext/>
        <w:spacing w:before="360" w:after="160"/>
        <w:pBdr>
          <w:bottom w:val="single" w:sz="6" w:color="1D4ED8"/>
        </w:pBdr>
      </w:pPr>
      <w:r>
        <w:rPr>
          <w:rFonts w:ascii="Calibri" w:hAnsi="Calibri"/>
          <w:b/>
          <w:color w:val="0F172A"/>
          <w:sz w:val="36"/>
        </w:rPr>
        <w:t>11.  Confidentiality</w:t>
      </w:r>
    </w:p>
    <w:p>
      <w:pPr>
        <w:spacing w:after="120" w:before="0"/>
      </w:pPr>
      <w:r>
        <w:rPr>
          <w:rFonts w:ascii="Calibri" w:hAnsi="Calibri"/>
          <w:b w:val="0"/>
          <w:i w:val="0"/>
          <w:color w:val="475569"/>
          <w:sz w:val="21"/>
        </w:rPr>
        <w:t>Both parties agree to treat all proprietary business information, technical specifications, and data shared during this engagement as confidential. A mutual Non-Disclosure Agreement (NDA) should be executed prior to discovery workshops.</w:t>
      </w:r>
    </w:p>
    <w:p>
      <w:pPr>
        <w:keepNext/>
        <w:spacing w:before="360" w:after="160"/>
        <w:pBdr>
          <w:bottom w:val="single" w:sz="6" w:color="1D4ED8"/>
        </w:pBdr>
      </w:pPr>
      <w:r>
        <w:rPr>
          <w:rFonts w:ascii="Calibri" w:hAnsi="Calibri"/>
          <w:b/>
          <w:color w:val="0F172A"/>
          <w:sz w:val="36"/>
        </w:rPr>
        <w:t>12.  Payment Terms &amp; Late Fees</w:t>
      </w:r>
    </w:p>
    <w:p>
      <w:pPr>
        <w:pStyle w:val="ListBullet"/>
        <w:spacing w:after="60" w:before="0"/>
        <w:ind w:left="360"/>
      </w:pPr>
      <w:r>
        <w:rPr>
          <w:rFonts w:ascii="Calibri" w:hAnsi="Calibri"/>
          <w:b w:val="0"/>
          <w:i w:val="0"/>
          <w:color w:val="475569"/>
          <w:sz w:val="21"/>
        </w:rPr>
        <w:t>Phase 1: Payment due in full prior to project commencement.</w:t>
      </w:r>
    </w:p>
    <w:p>
      <w:pPr>
        <w:pStyle w:val="ListBullet"/>
        <w:spacing w:after="60" w:before="0"/>
        <w:ind w:left="360"/>
      </w:pPr>
      <w:r>
        <w:rPr>
          <w:rFonts w:ascii="Calibri" w:hAnsi="Calibri"/>
          <w:b w:val="0"/>
          <w:i w:val="0"/>
          <w:color w:val="475569"/>
          <w:sz w:val="21"/>
        </w:rPr>
        <w:t>Invoices for subsequent phases are due within fifteen (15) days of invoice date.</w:t>
      </w:r>
    </w:p>
    <w:p>
      <w:pPr>
        <w:pStyle w:val="ListBullet"/>
        <w:spacing w:after="60" w:before="0"/>
        <w:ind w:left="360"/>
      </w:pPr>
      <w:r>
        <w:rPr>
          <w:rFonts w:ascii="Calibri" w:hAnsi="Calibri"/>
          <w:b w:val="0"/>
          <w:i w:val="0"/>
          <w:color w:val="475569"/>
          <w:sz w:val="21"/>
        </w:rPr>
        <w:t>Late payments are subject to a 1.5% monthly finance charge.</w:t>
      </w:r>
    </w:p>
    <w:p>
      <w:pPr>
        <w:pStyle w:val="ListBullet"/>
        <w:spacing w:after="60" w:before="0"/>
        <w:ind w:left="360"/>
      </w:pPr>
      <w:r>
        <w:rPr>
          <w:rFonts w:ascii="Calibri" w:hAnsi="Calibri"/>
          <w:b w:val="0"/>
          <w:i w:val="0"/>
          <w:color w:val="475569"/>
          <w:sz w:val="21"/>
        </w:rPr>
        <w:t>Work may be paused on accounts with invoices past 30 days outstanding.</w:t>
      </w:r>
    </w:p>
    <w:p>
      <w:pPr>
        <w:keepNext/>
        <w:spacing w:before="360" w:after="160"/>
        <w:pBdr>
          <w:bottom w:val="single" w:sz="6" w:color="1D4ED8"/>
        </w:pBdr>
      </w:pPr>
      <w:r>
        <w:rPr>
          <w:rFonts w:ascii="Calibri" w:hAnsi="Calibri"/>
          <w:b/>
          <w:color w:val="0F172A"/>
          <w:sz w:val="36"/>
        </w:rPr>
        <w:t>13.  Change Management</w:t>
      </w:r>
    </w:p>
    <w:p>
      <w:pPr>
        <w:spacing w:after="120" w:before="0"/>
      </w:pPr>
      <w:r>
        <w:rPr>
          <w:rFonts w:ascii="Calibri" w:hAnsi="Calibri"/>
          <w:b w:val="0"/>
          <w:i w:val="0"/>
          <w:color w:val="475569"/>
          <w:sz w:val="21"/>
        </w:rPr>
        <w:t>Changes to scope must be submitted in writing and approved by both parties via a Change Order before work begins. Change orders that increase scope will include a revised cost and timeline estimate.</w:t>
      </w:r>
    </w:p>
    <w:p>
      <w:pPr>
        <w:keepNext/>
        <w:spacing w:before="360" w:after="160"/>
        <w:pBdr>
          <w:bottom w:val="single" w:sz="6" w:color="1D4ED8"/>
        </w:pBdr>
      </w:pPr>
      <w:r>
        <w:rPr>
          <w:rFonts w:ascii="Calibri" w:hAnsi="Calibri"/>
          <w:b/>
          <w:color w:val="0F172A"/>
          <w:sz w:val="36"/>
        </w:rPr>
        <w:t>14.  Termination</w:t>
      </w:r>
    </w:p>
    <w:p>
      <w:pPr>
        <w:spacing w:after="120" w:before="0"/>
      </w:pPr>
      <w:r>
        <w:rPr>
          <w:rFonts w:ascii="Calibri" w:hAnsi="Calibri"/>
          <w:b w:val="0"/>
          <w:i w:val="0"/>
          <w:color w:val="475569"/>
          <w:sz w:val="21"/>
        </w:rPr>
        <w:t>Either party may terminate this agreement with thirty (30) days written notice. Upon termination, Great Mountain West shall pay for all work completed to date. Phase 1 payment is non-refundable once work has commenced.</w:t>
      </w:r>
    </w:p>
    <w:p>
      <w:pPr>
        <w:keepNext/>
        <w:spacing w:before="360" w:after="160"/>
        <w:pBdr>
          <w:bottom w:val="single" w:sz="6" w:color="1D4ED8"/>
        </w:pBdr>
      </w:pPr>
      <w:r>
        <w:rPr>
          <w:rFonts w:ascii="Calibri" w:hAnsi="Calibri"/>
          <w:b/>
          <w:color w:val="0F172A"/>
          <w:sz w:val="36"/>
        </w:rPr>
        <w:t>15.  Limitation of Liability</w:t>
      </w:r>
    </w:p>
    <w:p>
      <w:pPr>
        <w:spacing w:after="120" w:before="0"/>
      </w:pPr>
      <w:r>
        <w:rPr>
          <w:rFonts w:ascii="Calibri" w:hAnsi="Calibri"/>
          <w:b w:val="0"/>
          <w:i w:val="0"/>
          <w:color w:val="475569"/>
          <w:sz w:val="21"/>
        </w:rPr>
        <w:t>Christopher Wall's total liability shall not exceed the total fees paid under this SOW. Neither party shall be liable for indirect, incidental, or consequential damages.</w:t>
      </w:r>
    </w:p>
    <w:p>
      <w:pPr>
        <w:keepNext/>
        <w:spacing w:before="360" w:after="160"/>
        <w:pBdr>
          <w:bottom w:val="single" w:sz="6" w:color="1D4ED8"/>
        </w:pBdr>
      </w:pPr>
      <w:r>
        <w:rPr>
          <w:rFonts w:ascii="Calibri" w:hAnsi="Calibri"/>
          <w:b/>
          <w:color w:val="0F172A"/>
          <w:sz w:val="36"/>
        </w:rPr>
        <w:t>16.  Governing Law</w:t>
      </w:r>
    </w:p>
    <w:p>
      <w:pPr>
        <w:spacing w:after="120" w:before="0"/>
      </w:pPr>
      <w:r>
        <w:rPr>
          <w:rFonts w:ascii="Calibri" w:hAnsi="Calibri"/>
          <w:b w:val="0"/>
          <w:i w:val="0"/>
          <w:color w:val="475569"/>
          <w:sz w:val="21"/>
        </w:rPr>
        <w:t>This agreement shall be governed by the laws of the State of Utah.</w:t>
      </w:r>
    </w:p>
    <w:p>
      <w:r>
        <w:br w:type="page"/>
      </w:r>
    </w:p>
    <w:p>
      <w:pPr>
        <w:keepNext/>
        <w:spacing w:before="360" w:after="160"/>
        <w:pBdr>
          <w:bottom w:val="single" w:sz="6" w:color="1D4ED8"/>
        </w:pBdr>
      </w:pPr>
      <w:r>
        <w:rPr>
          <w:rFonts w:ascii="Calibri" w:hAnsi="Calibri"/>
          <w:b/>
          <w:color w:val="0F172A"/>
          <w:sz w:val="36"/>
        </w:rPr>
        <w:t>17.  Signatures</w:t>
      </w:r>
    </w:p>
    <w:p>
      <w:pPr>
        <w:spacing w:after="120" w:before="0"/>
      </w:pPr>
      <w:r>
        <w:rPr>
          <w:rFonts w:ascii="Calibri" w:hAnsi="Calibri"/>
          <w:b w:val="0"/>
          <w:i w:val="0"/>
          <w:color w:val="475569"/>
          <w:sz w:val="21"/>
        </w:rPr>
        <w:t>By signing below, both parties agree to the terms set forth in this Statement of Work.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64"/>
        <w:gridCol w:w="4464"/>
      </w:tblGrid>
      <w:tr>
        <w:tc>
          <w:tcPr>
            <w:tcW w:type="dxa" w:w="4536"/>
            <w:shd w:val="clear" w:color="auto" w:fill="F1F5F9"/>
          </w:tcPr>
          <w:p>
            <w:pPr>
              <w:spacing w:before="160"/>
            </w:pPr>
            <w:r>
              <w:rPr>
                <w:rFonts w:ascii="Calibri" w:hAnsi="Calibri"/>
                <w:b/>
                <w:i w:val="0"/>
                <w:color w:val="0F172A"/>
                <w:sz w:val="22"/>
              </w:rPr>
              <w:t>Great Mountain West</w:t>
            </w:r>
          </w:p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475569"/>
                <w:sz w:val="20"/>
              </w:rPr>
              <w:br/>
            </w:r>
          </w:p>
          <w:p>
            <w:pPr>
              <w:spacing w:before="60" w:after="60"/>
            </w:pPr>
          </w:p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475569"/>
                <w:sz w:val="20"/>
              </w:rPr>
              <w:br/>
              <w:br/>
              <w:t>Signature: ___________________________</w:t>
            </w:r>
          </w:p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475569"/>
                <w:sz w:val="20"/>
              </w:rPr>
              <w:br/>
              <w:t>Printed Name: ___________________________</w:t>
            </w:r>
          </w:p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475569"/>
                <w:sz w:val="20"/>
              </w:rPr>
              <w:br/>
              <w:t>Date: ___________________________</w:t>
            </w:r>
          </w:p>
        </w:tc>
        <w:tc>
          <w:tcPr>
            <w:tcW w:type="dxa" w:w="4536"/>
            <w:shd w:val="clear" w:color="auto" w:fill="F1F5F9"/>
          </w:tcPr>
          <w:p>
            <w:pPr>
              <w:spacing w:before="160"/>
            </w:pPr>
            <w:r>
              <w:rPr>
                <w:rFonts w:ascii="Calibri" w:hAnsi="Calibri"/>
                <w:b/>
                <w:i w:val="0"/>
                <w:color w:val="0F172A"/>
                <w:sz w:val="22"/>
              </w:rPr>
              <w:t>Christopher Wall</w:t>
            </w:r>
          </w:p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475569"/>
                <w:sz w:val="20"/>
              </w:rPr>
              <w:br/>
              <w:t>Christopher Wall</w:t>
            </w:r>
          </w:p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475569"/>
                <w:sz w:val="20"/>
              </w:rPr>
              <w:t>Principal Developer</w:t>
            </w:r>
          </w:p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475569"/>
                <w:sz w:val="20"/>
              </w:rPr>
              <w:br/>
              <w:br/>
              <w:t>Signature: ___________________________</w:t>
            </w:r>
          </w:p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475569"/>
                <w:sz w:val="20"/>
              </w:rPr>
              <w:br/>
              <w:t>Printed Name: ___________________________</w:t>
            </w:r>
          </w:p>
          <w:p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475569"/>
                <w:sz w:val="20"/>
              </w:rPr>
              <w:br/>
              <w:t>Date: ___________________________</w:t>
            </w:r>
          </w:p>
        </w:tc>
      </w:tr>
    </w:tbl>
    <w:p/>
    <w:p>
      <w:pPr>
        <w:spacing w:before="80" w:after="80"/>
        <w:pBdr>
          <w:bottom w:val="single" w:sz="4" w:color="E2E8F0"/>
        </w:pBdr>
      </w:pPr>
    </w:p>
    <w:p>
      <w:pPr>
        <w:jc w:val="center"/>
      </w:pPr>
      <w:r>
        <w:rPr>
          <w:rFonts w:ascii="Calibri" w:hAnsi="Calibri"/>
          <w:b w:val="0"/>
          <w:i/>
          <w:color w:val="475569"/>
          <w:sz w:val="17"/>
        </w:rPr>
        <w:t>This document is confidential and intended solely for the use of Great Mountain West and Christopher Wall. Unauthorized distribution is prohibited.</w:t>
      </w:r>
    </w:p>
    <w:sectPr w:rsidR="00FC693F" w:rsidRPr="0006063C" w:rsidSect="00034616">
      <w:footerReference w:type="default" r:id="rId9"/>
      <w:pgSz w:w="12240" w:h="15840"/>
      <w:pgMar w:top="1440" w:right="1656" w:bottom="1440" w:left="165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475569"/>
        <w:sz w:val="16"/>
      </w:rPr>
      <w:t xml:space="preserve">Confidential — Great Mountain West / Christopher Wall   |   Page </w:t>
    </w:r>
    <w:r>
      <w:rPr>
        <w:rFonts w:ascii="Calibri" w:hAnsi="Calibri"/>
        <w:b w:val="0"/>
        <w:i w:val="0"/>
        <w:color w:val="475569"/>
        <w:sz w:val="16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