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CFF8A5" w14:textId="05B29A01" w:rsidR="00AF6CEA" w:rsidRPr="00EE1943" w:rsidRDefault="00AF6CEA">
      <w:pPr>
        <w:rPr>
          <w:b/>
          <w:bCs/>
          <w:sz w:val="32"/>
          <w:szCs w:val="32"/>
        </w:rPr>
      </w:pPr>
      <w:r w:rsidRPr="00EE1943">
        <w:rPr>
          <w:b/>
          <w:bCs/>
          <w:sz w:val="32"/>
          <w:szCs w:val="32"/>
        </w:rPr>
        <w:t>NIST SP 800-171</w:t>
      </w:r>
    </w:p>
    <w:p w14:paraId="704190C2" w14:textId="6A4E87A2" w:rsidR="00C12E3D" w:rsidRDefault="005C22F0">
      <w:pPr>
        <w:rPr>
          <w:sz w:val="24"/>
          <w:szCs w:val="24"/>
        </w:rPr>
      </w:pPr>
      <w:r>
        <w:rPr>
          <w:sz w:val="24"/>
          <w:szCs w:val="24"/>
        </w:rPr>
        <w:t>NIST SP 800-171</w:t>
      </w:r>
      <w:r w:rsidR="00DB09BB">
        <w:rPr>
          <w:sz w:val="24"/>
          <w:szCs w:val="24"/>
        </w:rPr>
        <w:t xml:space="preserve"> was created as a </w:t>
      </w:r>
      <w:r w:rsidR="008617A9">
        <w:rPr>
          <w:sz w:val="24"/>
          <w:szCs w:val="24"/>
        </w:rPr>
        <w:t>framework</w:t>
      </w:r>
      <w:r w:rsidR="00DB09BB">
        <w:rPr>
          <w:sz w:val="24"/>
          <w:szCs w:val="24"/>
        </w:rPr>
        <w:t xml:space="preserve"> for </w:t>
      </w:r>
      <w:r w:rsidR="008617A9">
        <w:rPr>
          <w:sz w:val="24"/>
          <w:szCs w:val="24"/>
        </w:rPr>
        <w:t xml:space="preserve">government </w:t>
      </w:r>
      <w:r w:rsidR="00DB09BB">
        <w:rPr>
          <w:sz w:val="24"/>
          <w:szCs w:val="24"/>
        </w:rPr>
        <w:t xml:space="preserve">contractors </w:t>
      </w:r>
      <w:r w:rsidR="008617A9">
        <w:rPr>
          <w:sz w:val="24"/>
          <w:szCs w:val="24"/>
        </w:rPr>
        <w:t xml:space="preserve">to develop procedures to aid in assessing the satisfaction of compliance of CUI security. The procedures and methods are generalized </w:t>
      </w:r>
      <w:r w:rsidR="0090343D">
        <w:rPr>
          <w:sz w:val="24"/>
          <w:szCs w:val="24"/>
        </w:rPr>
        <w:t xml:space="preserve">so </w:t>
      </w:r>
      <w:r w:rsidR="008617A9">
        <w:rPr>
          <w:sz w:val="24"/>
          <w:szCs w:val="24"/>
        </w:rPr>
        <w:t>organizations can be flexible in their implementation</w:t>
      </w:r>
      <w:r w:rsidR="009116E0">
        <w:rPr>
          <w:sz w:val="24"/>
          <w:szCs w:val="24"/>
        </w:rPr>
        <w:t xml:space="preserve"> of</w:t>
      </w:r>
      <w:r w:rsidR="008617A9">
        <w:rPr>
          <w:sz w:val="24"/>
          <w:szCs w:val="24"/>
        </w:rPr>
        <w:t xml:space="preserve"> achiev</w:t>
      </w:r>
      <w:r w:rsidR="009116E0">
        <w:rPr>
          <w:sz w:val="24"/>
          <w:szCs w:val="24"/>
        </w:rPr>
        <w:t>ing</w:t>
      </w:r>
      <w:r w:rsidR="008617A9">
        <w:rPr>
          <w:sz w:val="24"/>
          <w:szCs w:val="24"/>
        </w:rPr>
        <w:t xml:space="preserve"> their goals of compliance. It</w:t>
      </w:r>
      <w:r w:rsidR="00DB09BB">
        <w:rPr>
          <w:sz w:val="24"/>
          <w:szCs w:val="24"/>
        </w:rPr>
        <w:t xml:space="preserve"> </w:t>
      </w:r>
      <w:r w:rsidR="008617A9">
        <w:rPr>
          <w:sz w:val="24"/>
          <w:szCs w:val="24"/>
        </w:rPr>
        <w:t>allows for self-assessment and voluntary compliance.</w:t>
      </w:r>
    </w:p>
    <w:p w14:paraId="03274D6C" w14:textId="28B804E2" w:rsidR="0040513A" w:rsidRDefault="0040513A">
      <w:pPr>
        <w:rPr>
          <w:sz w:val="24"/>
          <w:szCs w:val="24"/>
        </w:rPr>
      </w:pPr>
      <w:r>
        <w:rPr>
          <w:sz w:val="24"/>
          <w:szCs w:val="24"/>
        </w:rPr>
        <w:t>NIST SP 800-171 helps organizations</w:t>
      </w:r>
      <w:r w:rsidR="006A2747">
        <w:rPr>
          <w:sz w:val="24"/>
          <w:szCs w:val="24"/>
        </w:rPr>
        <w:t xml:space="preserve"> gather information and make assessments of their systems</w:t>
      </w:r>
      <w:r w:rsidR="009642E6">
        <w:rPr>
          <w:sz w:val="24"/>
          <w:szCs w:val="24"/>
        </w:rPr>
        <w:t xml:space="preserve"> </w:t>
      </w:r>
      <w:r w:rsidR="00433BD9">
        <w:rPr>
          <w:sz w:val="24"/>
          <w:szCs w:val="24"/>
        </w:rPr>
        <w:t>so</w:t>
      </w:r>
      <w:r w:rsidR="009642E6">
        <w:rPr>
          <w:sz w:val="24"/>
          <w:szCs w:val="24"/>
        </w:rPr>
        <w:t xml:space="preserve"> the organization can</w:t>
      </w:r>
      <w:r w:rsidR="00433BD9">
        <w:rPr>
          <w:sz w:val="24"/>
          <w:szCs w:val="24"/>
        </w:rPr>
        <w:t xml:space="preserve"> next</w:t>
      </w:r>
      <w:r w:rsidR="009642E6">
        <w:rPr>
          <w:sz w:val="24"/>
          <w:szCs w:val="24"/>
        </w:rPr>
        <w:t>:</w:t>
      </w:r>
    </w:p>
    <w:p w14:paraId="4C56D7CB" w14:textId="556267E2" w:rsidR="00451EE0" w:rsidRPr="00451EE0" w:rsidRDefault="00451EE0" w:rsidP="00451EE0">
      <w:pPr>
        <w:rPr>
          <w:i/>
          <w:iCs/>
          <w:sz w:val="24"/>
          <w:szCs w:val="24"/>
        </w:rPr>
      </w:pPr>
      <w:r w:rsidRPr="00451EE0">
        <w:rPr>
          <w:sz w:val="24"/>
          <w:szCs w:val="24"/>
        </w:rPr>
        <w:t xml:space="preserve">• </w:t>
      </w:r>
      <w:r w:rsidR="007D0E6B">
        <w:rPr>
          <w:sz w:val="24"/>
          <w:szCs w:val="24"/>
        </w:rPr>
        <w:t>“</w:t>
      </w:r>
      <w:r w:rsidRPr="00451EE0">
        <w:rPr>
          <w:i/>
          <w:iCs/>
          <w:sz w:val="24"/>
          <w:szCs w:val="24"/>
        </w:rPr>
        <w:t>Identify potential problems or shortfalls in the organization’s security and risk management</w:t>
      </w:r>
    </w:p>
    <w:p w14:paraId="3AA15DBD" w14:textId="77777777" w:rsidR="00451EE0" w:rsidRPr="00451EE0" w:rsidRDefault="00451EE0" w:rsidP="00451EE0">
      <w:pPr>
        <w:rPr>
          <w:i/>
          <w:iCs/>
          <w:sz w:val="24"/>
          <w:szCs w:val="24"/>
        </w:rPr>
      </w:pPr>
      <w:r w:rsidRPr="00451EE0">
        <w:rPr>
          <w:i/>
          <w:iCs/>
          <w:sz w:val="24"/>
          <w:szCs w:val="24"/>
        </w:rPr>
        <w:t>programs;</w:t>
      </w:r>
    </w:p>
    <w:p w14:paraId="5B95F114" w14:textId="77777777" w:rsidR="00451EE0" w:rsidRPr="00451EE0" w:rsidRDefault="00451EE0" w:rsidP="00451EE0">
      <w:pPr>
        <w:rPr>
          <w:i/>
          <w:iCs/>
          <w:sz w:val="24"/>
          <w:szCs w:val="24"/>
        </w:rPr>
      </w:pPr>
      <w:r w:rsidRPr="00451EE0">
        <w:rPr>
          <w:i/>
          <w:iCs/>
          <w:sz w:val="24"/>
          <w:szCs w:val="24"/>
        </w:rPr>
        <w:t>• Identify security weaknesses and deficiencies in its systems and in the environments in which</w:t>
      </w:r>
    </w:p>
    <w:p w14:paraId="224E68CE" w14:textId="77777777" w:rsidR="00451EE0" w:rsidRPr="00451EE0" w:rsidRDefault="00451EE0" w:rsidP="00451EE0">
      <w:pPr>
        <w:rPr>
          <w:i/>
          <w:iCs/>
          <w:sz w:val="24"/>
          <w:szCs w:val="24"/>
        </w:rPr>
      </w:pPr>
      <w:r w:rsidRPr="00451EE0">
        <w:rPr>
          <w:i/>
          <w:iCs/>
          <w:sz w:val="24"/>
          <w:szCs w:val="24"/>
        </w:rPr>
        <w:t>those systems operate;</w:t>
      </w:r>
    </w:p>
    <w:p w14:paraId="351766D3" w14:textId="77777777" w:rsidR="00451EE0" w:rsidRPr="00451EE0" w:rsidRDefault="00451EE0" w:rsidP="00451EE0">
      <w:pPr>
        <w:rPr>
          <w:i/>
          <w:iCs/>
          <w:sz w:val="24"/>
          <w:szCs w:val="24"/>
        </w:rPr>
      </w:pPr>
      <w:r w:rsidRPr="00451EE0">
        <w:rPr>
          <w:i/>
          <w:iCs/>
          <w:sz w:val="24"/>
          <w:szCs w:val="24"/>
        </w:rPr>
        <w:t>• Prioritize risk mitigation decisions and activities;</w:t>
      </w:r>
    </w:p>
    <w:p w14:paraId="5DD08B23" w14:textId="77777777" w:rsidR="00451EE0" w:rsidRPr="00451EE0" w:rsidRDefault="00451EE0" w:rsidP="00451EE0">
      <w:pPr>
        <w:rPr>
          <w:i/>
          <w:iCs/>
          <w:sz w:val="24"/>
          <w:szCs w:val="24"/>
        </w:rPr>
      </w:pPr>
      <w:r w:rsidRPr="00451EE0">
        <w:rPr>
          <w:i/>
          <w:iCs/>
          <w:sz w:val="24"/>
          <w:szCs w:val="24"/>
        </w:rPr>
        <w:t>• Confirm that identified security weaknesses and deficiencies in the system and in the</w:t>
      </w:r>
    </w:p>
    <w:p w14:paraId="2476996E" w14:textId="77777777" w:rsidR="00451EE0" w:rsidRPr="00451EE0" w:rsidRDefault="00451EE0" w:rsidP="00451EE0">
      <w:pPr>
        <w:rPr>
          <w:i/>
          <w:iCs/>
          <w:sz w:val="24"/>
          <w:szCs w:val="24"/>
        </w:rPr>
      </w:pPr>
      <w:r w:rsidRPr="00451EE0">
        <w:rPr>
          <w:i/>
          <w:iCs/>
          <w:sz w:val="24"/>
          <w:szCs w:val="24"/>
        </w:rPr>
        <w:t>environment of operation have been addressed; and</w:t>
      </w:r>
    </w:p>
    <w:p w14:paraId="74E8D106" w14:textId="77777777" w:rsidR="00451EE0" w:rsidRPr="00451EE0" w:rsidRDefault="00451EE0" w:rsidP="00451EE0">
      <w:pPr>
        <w:rPr>
          <w:i/>
          <w:iCs/>
          <w:sz w:val="24"/>
          <w:szCs w:val="24"/>
        </w:rPr>
      </w:pPr>
      <w:r w:rsidRPr="00451EE0">
        <w:rPr>
          <w:i/>
          <w:iCs/>
          <w:sz w:val="24"/>
          <w:szCs w:val="24"/>
        </w:rPr>
        <w:t>• Support continuous monitoring activities and provide information security situational</w:t>
      </w:r>
    </w:p>
    <w:p w14:paraId="08F85F72" w14:textId="44DD7C3B" w:rsidR="009642E6" w:rsidRPr="00451EE0" w:rsidRDefault="00451EE0" w:rsidP="00451EE0">
      <w:pPr>
        <w:rPr>
          <w:i/>
          <w:iCs/>
          <w:sz w:val="24"/>
          <w:szCs w:val="24"/>
        </w:rPr>
      </w:pPr>
      <w:r w:rsidRPr="00451EE0">
        <w:rPr>
          <w:i/>
          <w:iCs/>
          <w:sz w:val="24"/>
          <w:szCs w:val="24"/>
        </w:rPr>
        <w:t>awareness</w:t>
      </w:r>
      <w:r>
        <w:rPr>
          <w:i/>
          <w:iCs/>
          <w:sz w:val="24"/>
          <w:szCs w:val="24"/>
        </w:rPr>
        <w:t>”</w:t>
      </w:r>
      <w:r w:rsidR="00456376">
        <w:rPr>
          <w:i/>
          <w:iCs/>
          <w:sz w:val="24"/>
          <w:szCs w:val="24"/>
        </w:rPr>
        <w:t xml:space="preserve"> (p.1). </w:t>
      </w:r>
    </w:p>
    <w:p w14:paraId="2B4A6BF0" w14:textId="3B4340B1" w:rsidR="00DC453F" w:rsidRDefault="00EE1943">
      <w:pPr>
        <w:rPr>
          <w:sz w:val="24"/>
          <w:szCs w:val="24"/>
        </w:rPr>
      </w:pPr>
      <w:hyperlink r:id="rId5" w:history="1">
        <w:r w:rsidR="007D0E6B" w:rsidRPr="00762CCF">
          <w:rPr>
            <w:rStyle w:val="Hyperlink"/>
            <w:sz w:val="24"/>
            <w:szCs w:val="24"/>
          </w:rPr>
          <w:t>https://nvlpubs.nist.gov/nistpubs/SpecialPublications/NIST.SP.800-171A.pdf</w:t>
        </w:r>
      </w:hyperlink>
      <w:r w:rsidR="007D0E6B">
        <w:rPr>
          <w:sz w:val="24"/>
          <w:szCs w:val="24"/>
        </w:rPr>
        <w:t xml:space="preserve"> </w:t>
      </w:r>
    </w:p>
    <w:p w14:paraId="7DA19532" w14:textId="5D2C173A" w:rsidR="00DC453F" w:rsidRDefault="00DC453F">
      <w:pPr>
        <w:rPr>
          <w:sz w:val="24"/>
          <w:szCs w:val="24"/>
        </w:rPr>
      </w:pPr>
    </w:p>
    <w:p w14:paraId="7F83F5B7" w14:textId="733D4228" w:rsidR="00634153" w:rsidRPr="00EE1943" w:rsidRDefault="00416149">
      <w:pPr>
        <w:rPr>
          <w:b/>
          <w:bCs/>
          <w:sz w:val="32"/>
          <w:szCs w:val="32"/>
        </w:rPr>
      </w:pPr>
      <w:r w:rsidRPr="00EE1943">
        <w:rPr>
          <w:b/>
          <w:bCs/>
          <w:sz w:val="32"/>
          <w:szCs w:val="32"/>
        </w:rPr>
        <w:t>Compared to CMMC</w:t>
      </w:r>
    </w:p>
    <w:p w14:paraId="1949877E" w14:textId="7F421C3D" w:rsidR="002E25BF" w:rsidRDefault="007676AB" w:rsidP="002E25BF">
      <w:pPr>
        <w:rPr>
          <w:sz w:val="24"/>
          <w:szCs w:val="24"/>
        </w:rPr>
      </w:pPr>
      <w:r>
        <w:rPr>
          <w:sz w:val="24"/>
          <w:szCs w:val="24"/>
        </w:rPr>
        <w:t xml:space="preserve">Where NIST SP 800-171 </w:t>
      </w:r>
      <w:r w:rsidR="00C45D62">
        <w:rPr>
          <w:sz w:val="24"/>
          <w:szCs w:val="24"/>
        </w:rPr>
        <w:t>consists of</w:t>
      </w:r>
      <w:r>
        <w:rPr>
          <w:sz w:val="24"/>
          <w:szCs w:val="24"/>
        </w:rPr>
        <w:t xml:space="preserve"> guidance and recommendations</w:t>
      </w:r>
      <w:r w:rsidR="00B43256">
        <w:rPr>
          <w:sz w:val="24"/>
          <w:szCs w:val="24"/>
        </w:rPr>
        <w:t xml:space="preserve"> for </w:t>
      </w:r>
      <w:r w:rsidR="00D75983">
        <w:rPr>
          <w:sz w:val="24"/>
          <w:szCs w:val="24"/>
        </w:rPr>
        <w:t xml:space="preserve">voluntary </w:t>
      </w:r>
      <w:r w:rsidR="00B43256">
        <w:rPr>
          <w:sz w:val="24"/>
          <w:szCs w:val="24"/>
        </w:rPr>
        <w:t xml:space="preserve">compliance of CUI, CMMC </w:t>
      </w:r>
      <w:r w:rsidR="00E2509A">
        <w:rPr>
          <w:sz w:val="24"/>
          <w:szCs w:val="24"/>
        </w:rPr>
        <w:t>was created</w:t>
      </w:r>
      <w:r w:rsidR="00B43256">
        <w:rPr>
          <w:sz w:val="24"/>
          <w:szCs w:val="24"/>
        </w:rPr>
        <w:t xml:space="preserve"> as a mandatory</w:t>
      </w:r>
      <w:r w:rsidR="00713C93">
        <w:rPr>
          <w:sz w:val="24"/>
          <w:szCs w:val="24"/>
        </w:rPr>
        <w:t xml:space="preserve"> compliance certification and </w:t>
      </w:r>
      <w:r w:rsidR="00E44ECA">
        <w:rPr>
          <w:sz w:val="24"/>
          <w:szCs w:val="24"/>
        </w:rPr>
        <w:t>is quickly becoming the industry standard in order to compete with other organizations for government contracts.</w:t>
      </w:r>
      <w:r w:rsidR="002E25BF">
        <w:rPr>
          <w:sz w:val="24"/>
          <w:szCs w:val="24"/>
        </w:rPr>
        <w:t xml:space="preserve"> </w:t>
      </w:r>
      <w:r w:rsidR="00E27FF2">
        <w:rPr>
          <w:sz w:val="24"/>
          <w:szCs w:val="24"/>
        </w:rPr>
        <w:t>“</w:t>
      </w:r>
      <w:r w:rsidR="002E25BF" w:rsidRPr="009D660F">
        <w:rPr>
          <w:sz w:val="24"/>
          <w:szCs w:val="24"/>
        </w:rPr>
        <w:t>Assessments are conducted by CMMC Third-Party Assessment Organizations (C3PAOs) and Certified Assessors</w:t>
      </w:r>
      <w:r w:rsidR="002E25BF">
        <w:rPr>
          <w:sz w:val="24"/>
          <w:szCs w:val="24"/>
        </w:rPr>
        <w:t xml:space="preserve">” (p. 13). </w:t>
      </w:r>
    </w:p>
    <w:p w14:paraId="7386FB07" w14:textId="589F695E" w:rsidR="009C5600" w:rsidRDefault="009C390C" w:rsidP="002E25BF">
      <w:pPr>
        <w:rPr>
          <w:sz w:val="24"/>
          <w:szCs w:val="24"/>
        </w:rPr>
      </w:pPr>
      <w:r>
        <w:rPr>
          <w:sz w:val="24"/>
          <w:szCs w:val="24"/>
        </w:rPr>
        <w:t xml:space="preserve">Levels 1 through 3 of CMMC are </w:t>
      </w:r>
      <w:r w:rsidR="00B00DCD">
        <w:rPr>
          <w:sz w:val="24"/>
          <w:szCs w:val="24"/>
        </w:rPr>
        <w:t xml:space="preserve">taken </w:t>
      </w:r>
      <w:r w:rsidR="00115CBC">
        <w:rPr>
          <w:sz w:val="24"/>
          <w:szCs w:val="24"/>
        </w:rPr>
        <w:t xml:space="preserve">partially </w:t>
      </w:r>
      <w:r w:rsidR="00B00DCD">
        <w:rPr>
          <w:sz w:val="24"/>
          <w:szCs w:val="24"/>
        </w:rPr>
        <w:t>from SP 800-171</w:t>
      </w:r>
      <w:r w:rsidR="007F3D46">
        <w:rPr>
          <w:sz w:val="24"/>
          <w:szCs w:val="24"/>
        </w:rPr>
        <w:t>.</w:t>
      </w:r>
    </w:p>
    <w:p w14:paraId="3DA7965A" w14:textId="0C977206" w:rsidR="00E2509A" w:rsidRDefault="00EE1943" w:rsidP="00E2509A">
      <w:pPr>
        <w:rPr>
          <w:sz w:val="24"/>
          <w:szCs w:val="24"/>
        </w:rPr>
      </w:pPr>
      <w:hyperlink r:id="rId6" w:history="1">
        <w:r w:rsidR="00E2509A" w:rsidRPr="003E4A24">
          <w:rPr>
            <w:rStyle w:val="Hyperlink"/>
            <w:sz w:val="24"/>
            <w:szCs w:val="24"/>
          </w:rPr>
          <w:t>https://www.acq.osd.mil/cmmc/docs/CMMC_AG_Lvl3_20201208_editable.pdf</w:t>
        </w:r>
      </w:hyperlink>
      <w:r w:rsidR="00E2509A">
        <w:rPr>
          <w:sz w:val="24"/>
          <w:szCs w:val="24"/>
        </w:rPr>
        <w:t xml:space="preserve"> </w:t>
      </w:r>
    </w:p>
    <w:p w14:paraId="28FDFD4A" w14:textId="32EAC0B2" w:rsidR="00E541DC" w:rsidRDefault="00E541DC" w:rsidP="00E2509A">
      <w:pPr>
        <w:rPr>
          <w:sz w:val="24"/>
          <w:szCs w:val="24"/>
        </w:rPr>
      </w:pPr>
    </w:p>
    <w:p w14:paraId="72EF4B12" w14:textId="611FECA5" w:rsidR="00E541DC" w:rsidRDefault="00E541DC" w:rsidP="00E2509A">
      <w:pPr>
        <w:rPr>
          <w:sz w:val="24"/>
          <w:szCs w:val="24"/>
        </w:rPr>
      </w:pPr>
    </w:p>
    <w:p w14:paraId="66448069" w14:textId="77777777" w:rsidR="00E541DC" w:rsidRDefault="00E541DC" w:rsidP="00E2509A">
      <w:pPr>
        <w:rPr>
          <w:sz w:val="24"/>
          <w:szCs w:val="24"/>
        </w:rPr>
      </w:pPr>
    </w:p>
    <w:p w14:paraId="1F9E9CE4" w14:textId="77777777" w:rsidR="00E541DC" w:rsidRDefault="00E541DC" w:rsidP="00E541DC">
      <w:pPr>
        <w:pStyle w:val="NormalWeb"/>
        <w:shd w:val="clear" w:color="auto" w:fill="FFFFFF"/>
        <w:rPr>
          <w:rFonts w:ascii="Arial" w:hAnsi="Arial" w:cs="Arial"/>
          <w:color w:val="292929"/>
          <w:sz w:val="21"/>
          <w:szCs w:val="21"/>
        </w:rPr>
      </w:pPr>
      <w:r>
        <w:rPr>
          <w:rFonts w:ascii="Arial" w:hAnsi="Arial" w:cs="Arial"/>
          <w:color w:val="292929"/>
          <w:sz w:val="21"/>
          <w:szCs w:val="21"/>
          <w:u w:val="single"/>
        </w:rPr>
        <w:lastRenderedPageBreak/>
        <w:t>A CMMC Level 1 audit will cover 15% of the NIST 800-171 CUI controls</w:t>
      </w:r>
      <w:r>
        <w:rPr>
          <w:rFonts w:ascii="Arial" w:hAnsi="Arial" w:cs="Arial"/>
          <w:color w:val="292929"/>
          <w:sz w:val="21"/>
          <w:szCs w:val="21"/>
        </w:rPr>
        <w:t>.</w:t>
      </w:r>
    </w:p>
    <w:p w14:paraId="22F5A116" w14:textId="2E105C21" w:rsidR="00E541DC" w:rsidRDefault="00E541DC" w:rsidP="00E541DC">
      <w:pPr>
        <w:pStyle w:val="NormalWeb"/>
        <w:shd w:val="clear" w:color="auto" w:fill="FFFFFF"/>
        <w:rPr>
          <w:rFonts w:ascii="Arial" w:hAnsi="Arial" w:cs="Arial"/>
          <w:color w:val="292929"/>
          <w:sz w:val="21"/>
          <w:szCs w:val="21"/>
        </w:rPr>
      </w:pPr>
      <w:r>
        <w:rPr>
          <w:rFonts w:ascii="Arial" w:hAnsi="Arial" w:cs="Arial"/>
          <w:noProof/>
          <w:color w:val="292929"/>
          <w:sz w:val="21"/>
          <w:szCs w:val="21"/>
        </w:rPr>
        <w:drawing>
          <wp:inline distT="0" distB="0" distL="0" distR="0" wp14:anchorId="7AC2D627" wp14:editId="152F5A8E">
            <wp:extent cx="5943600" cy="28409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AB5F4" w14:textId="77777777" w:rsidR="00712CFC" w:rsidRPr="00545995" w:rsidRDefault="00EE1943" w:rsidP="00712CFC">
      <w:pPr>
        <w:rPr>
          <w:sz w:val="24"/>
          <w:szCs w:val="24"/>
        </w:rPr>
      </w:pPr>
      <w:hyperlink r:id="rId8" w:history="1">
        <w:r w:rsidR="00712CFC" w:rsidRPr="00762CCF">
          <w:rPr>
            <w:rStyle w:val="Hyperlink"/>
            <w:sz w:val="24"/>
            <w:szCs w:val="24"/>
          </w:rPr>
          <w:t>https://www.complianceforge.com/blog/nist-800171-vs-cmmc/</w:t>
        </w:r>
      </w:hyperlink>
      <w:r w:rsidR="00712CFC">
        <w:rPr>
          <w:sz w:val="24"/>
          <w:szCs w:val="24"/>
        </w:rPr>
        <w:t xml:space="preserve"> </w:t>
      </w:r>
    </w:p>
    <w:p w14:paraId="44AB355B" w14:textId="77777777" w:rsidR="00712CFC" w:rsidRDefault="00712CFC" w:rsidP="00E541DC">
      <w:pPr>
        <w:pStyle w:val="NormalWeb"/>
        <w:shd w:val="clear" w:color="auto" w:fill="FFFFFF"/>
        <w:rPr>
          <w:rFonts w:ascii="Arial" w:hAnsi="Arial" w:cs="Arial"/>
          <w:color w:val="292929"/>
          <w:sz w:val="21"/>
          <w:szCs w:val="21"/>
        </w:rPr>
      </w:pPr>
    </w:p>
    <w:p w14:paraId="5924697B" w14:textId="77777777" w:rsidR="009F6D22" w:rsidRDefault="009F6D22" w:rsidP="009F6D22">
      <w:pPr>
        <w:pStyle w:val="NormalWeb"/>
        <w:shd w:val="clear" w:color="auto" w:fill="FFFFFF"/>
        <w:rPr>
          <w:rFonts w:ascii="Arial" w:hAnsi="Arial" w:cs="Arial"/>
          <w:color w:val="292929"/>
          <w:sz w:val="21"/>
          <w:szCs w:val="21"/>
        </w:rPr>
      </w:pPr>
      <w:r>
        <w:rPr>
          <w:rFonts w:ascii="Arial" w:hAnsi="Arial" w:cs="Arial"/>
          <w:color w:val="292929"/>
          <w:sz w:val="21"/>
          <w:szCs w:val="21"/>
        </w:rPr>
        <w:t>There are 72 controls that make up CMMC Level 2, which encompasses the CMMC Level 1 controls. </w:t>
      </w:r>
      <w:r>
        <w:rPr>
          <w:rFonts w:ascii="Arial" w:hAnsi="Arial" w:cs="Arial"/>
          <w:color w:val="292929"/>
          <w:sz w:val="21"/>
          <w:szCs w:val="21"/>
          <w:u w:val="single"/>
        </w:rPr>
        <w:t>A CMMC Level 2 audit will cover 65% of the NIST 800-171 CUI controls</w:t>
      </w:r>
      <w:r>
        <w:rPr>
          <w:rFonts w:ascii="Arial" w:hAnsi="Arial" w:cs="Arial"/>
          <w:color w:val="292929"/>
          <w:sz w:val="21"/>
          <w:szCs w:val="21"/>
        </w:rPr>
        <w:t>.</w:t>
      </w:r>
    </w:p>
    <w:p w14:paraId="64EF7072" w14:textId="4B3D512F" w:rsidR="009F6D22" w:rsidRDefault="009F6D22" w:rsidP="009F6D22">
      <w:pPr>
        <w:pStyle w:val="NormalWeb"/>
        <w:shd w:val="clear" w:color="auto" w:fill="FFFFFF"/>
        <w:rPr>
          <w:rFonts w:ascii="Arial" w:hAnsi="Arial" w:cs="Arial"/>
          <w:color w:val="292929"/>
          <w:sz w:val="21"/>
          <w:szCs w:val="21"/>
        </w:rPr>
      </w:pPr>
      <w:r>
        <w:rPr>
          <w:rFonts w:ascii="Arial" w:hAnsi="Arial" w:cs="Arial"/>
          <w:noProof/>
          <w:color w:val="292929"/>
          <w:sz w:val="21"/>
          <w:szCs w:val="21"/>
        </w:rPr>
        <w:drawing>
          <wp:inline distT="0" distB="0" distL="0" distR="0" wp14:anchorId="02F0561E" wp14:editId="57A2A0E3">
            <wp:extent cx="5943600" cy="29851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319C5" w14:textId="77777777" w:rsidR="00712CFC" w:rsidRPr="00545995" w:rsidRDefault="00EE1943" w:rsidP="00712CFC">
      <w:pPr>
        <w:rPr>
          <w:sz w:val="24"/>
          <w:szCs w:val="24"/>
        </w:rPr>
      </w:pPr>
      <w:hyperlink r:id="rId10" w:history="1">
        <w:r w:rsidR="00712CFC" w:rsidRPr="00762CCF">
          <w:rPr>
            <w:rStyle w:val="Hyperlink"/>
            <w:sz w:val="24"/>
            <w:szCs w:val="24"/>
          </w:rPr>
          <w:t>https://www.complianceforge.com/blog/nist-800171-vs-cmmc/</w:t>
        </w:r>
      </w:hyperlink>
      <w:r w:rsidR="00712CFC">
        <w:rPr>
          <w:sz w:val="24"/>
          <w:szCs w:val="24"/>
        </w:rPr>
        <w:t xml:space="preserve"> </w:t>
      </w:r>
    </w:p>
    <w:p w14:paraId="2F981EDD" w14:textId="08B44DBB" w:rsidR="006A17C5" w:rsidRPr="006A17C5" w:rsidRDefault="006A3680" w:rsidP="006A17C5">
      <w:pPr>
        <w:rPr>
          <w:rFonts w:ascii="Arial" w:hAnsi="Arial" w:cs="Arial"/>
          <w:color w:val="292929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92929"/>
          <w:sz w:val="21"/>
          <w:szCs w:val="21"/>
          <w:shd w:val="clear" w:color="auto" w:fill="FFFFFF"/>
        </w:rPr>
        <w:lastRenderedPageBreak/>
        <w:t>There are 131 controls that make up CMMC Level 3, which encompasses the CMMC Level 1 &amp; 2 controls. </w:t>
      </w:r>
      <w:r>
        <w:rPr>
          <w:rFonts w:ascii="Arial" w:hAnsi="Arial" w:cs="Arial"/>
          <w:color w:val="292929"/>
          <w:sz w:val="21"/>
          <w:szCs w:val="21"/>
          <w:u w:val="single"/>
          <w:shd w:val="clear" w:color="auto" w:fill="FFFFFF"/>
        </w:rPr>
        <w:t>A CMMC Level 3 audit will cover 100% of the NIST 800-171 CUI controls and an additional 21 controls from various sources</w:t>
      </w:r>
      <w:r>
        <w:rPr>
          <w:rFonts w:ascii="Arial" w:hAnsi="Arial" w:cs="Arial"/>
          <w:color w:val="292929"/>
          <w:sz w:val="21"/>
          <w:szCs w:val="21"/>
          <w:shd w:val="clear" w:color="auto" w:fill="FFFFFF"/>
        </w:rPr>
        <w:t>.</w:t>
      </w:r>
    </w:p>
    <w:p w14:paraId="79E4CE16" w14:textId="5DA12AA6" w:rsidR="006A17C5" w:rsidRPr="006A17C5" w:rsidRDefault="006A17C5" w:rsidP="006A17C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92929"/>
          <w:sz w:val="21"/>
          <w:szCs w:val="21"/>
        </w:rPr>
      </w:pPr>
      <w:r w:rsidRPr="006A17C5">
        <w:rPr>
          <w:rFonts w:ascii="Arial" w:eastAsia="Times New Roman" w:hAnsi="Arial" w:cs="Arial"/>
          <w:noProof/>
          <w:color w:val="292929"/>
          <w:sz w:val="21"/>
          <w:szCs w:val="21"/>
        </w:rPr>
        <w:drawing>
          <wp:inline distT="0" distB="0" distL="0" distR="0" wp14:anchorId="13F16ABA" wp14:editId="03187DDD">
            <wp:extent cx="5943600" cy="26555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96D91" w14:textId="77777777" w:rsidR="00712CFC" w:rsidRPr="00545995" w:rsidRDefault="00EE1943" w:rsidP="00712CFC">
      <w:pPr>
        <w:rPr>
          <w:sz w:val="24"/>
          <w:szCs w:val="24"/>
        </w:rPr>
      </w:pPr>
      <w:hyperlink r:id="rId12" w:history="1">
        <w:r w:rsidR="00712CFC" w:rsidRPr="00762CCF">
          <w:rPr>
            <w:rStyle w:val="Hyperlink"/>
            <w:sz w:val="24"/>
            <w:szCs w:val="24"/>
          </w:rPr>
          <w:t>https://www.complianceforge.com/blog/nist-800171-vs-cmmc/</w:t>
        </w:r>
      </w:hyperlink>
      <w:r w:rsidR="00712CFC">
        <w:rPr>
          <w:sz w:val="24"/>
          <w:szCs w:val="24"/>
        </w:rPr>
        <w:t xml:space="preserve"> </w:t>
      </w:r>
    </w:p>
    <w:p w14:paraId="101FE64E" w14:textId="34DFB754" w:rsidR="00416149" w:rsidRDefault="00416149">
      <w:pPr>
        <w:rPr>
          <w:sz w:val="24"/>
          <w:szCs w:val="24"/>
        </w:rPr>
      </w:pPr>
    </w:p>
    <w:p w14:paraId="4F015CD2" w14:textId="77777777" w:rsidR="00634153" w:rsidRDefault="00634153">
      <w:pPr>
        <w:rPr>
          <w:sz w:val="24"/>
          <w:szCs w:val="24"/>
        </w:rPr>
      </w:pPr>
    </w:p>
    <w:p w14:paraId="14E938DE" w14:textId="6A313988" w:rsidR="00DC453F" w:rsidRDefault="00DC453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09F00AD" wp14:editId="3359421C">
            <wp:extent cx="3924922" cy="2438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8402" cy="244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90AC4" w14:textId="3D616A0E" w:rsidR="00DC453F" w:rsidRPr="00545995" w:rsidRDefault="00EE1943">
      <w:pPr>
        <w:rPr>
          <w:sz w:val="24"/>
          <w:szCs w:val="24"/>
        </w:rPr>
      </w:pPr>
      <w:hyperlink r:id="rId14" w:history="1">
        <w:r w:rsidR="002B5FB6" w:rsidRPr="00762CCF">
          <w:rPr>
            <w:rStyle w:val="Hyperlink"/>
            <w:sz w:val="24"/>
            <w:szCs w:val="24"/>
          </w:rPr>
          <w:t>https://www.complianceforge.com/blog/nist-800171-vs-cmmc/</w:t>
        </w:r>
      </w:hyperlink>
      <w:r w:rsidR="002B5FB6">
        <w:rPr>
          <w:sz w:val="24"/>
          <w:szCs w:val="24"/>
        </w:rPr>
        <w:t xml:space="preserve"> </w:t>
      </w:r>
    </w:p>
    <w:sectPr w:rsidR="00DC453F" w:rsidRPr="005459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C7A752A"/>
    <w:multiLevelType w:val="multilevel"/>
    <w:tmpl w:val="46CED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995"/>
    <w:rsid w:val="00115CBC"/>
    <w:rsid w:val="002B5FB6"/>
    <w:rsid w:val="002E25BF"/>
    <w:rsid w:val="0040513A"/>
    <w:rsid w:val="00416149"/>
    <w:rsid w:val="00433BD9"/>
    <w:rsid w:val="00451EE0"/>
    <w:rsid w:val="00456376"/>
    <w:rsid w:val="00545995"/>
    <w:rsid w:val="00561DC7"/>
    <w:rsid w:val="005C22F0"/>
    <w:rsid w:val="00634153"/>
    <w:rsid w:val="006A17C5"/>
    <w:rsid w:val="006A2747"/>
    <w:rsid w:val="006A3680"/>
    <w:rsid w:val="00712CFC"/>
    <w:rsid w:val="00713C93"/>
    <w:rsid w:val="007676AB"/>
    <w:rsid w:val="00790D70"/>
    <w:rsid w:val="007D0E6B"/>
    <w:rsid w:val="007F3D46"/>
    <w:rsid w:val="008617A9"/>
    <w:rsid w:val="008B68FB"/>
    <w:rsid w:val="0090343D"/>
    <w:rsid w:val="009116E0"/>
    <w:rsid w:val="009642E6"/>
    <w:rsid w:val="009C390C"/>
    <w:rsid w:val="009C5600"/>
    <w:rsid w:val="009F6D22"/>
    <w:rsid w:val="00A67241"/>
    <w:rsid w:val="00AF6CEA"/>
    <w:rsid w:val="00B00DCD"/>
    <w:rsid w:val="00B43256"/>
    <w:rsid w:val="00C12E3D"/>
    <w:rsid w:val="00C45D62"/>
    <w:rsid w:val="00D75983"/>
    <w:rsid w:val="00DB09BB"/>
    <w:rsid w:val="00DC453F"/>
    <w:rsid w:val="00E2509A"/>
    <w:rsid w:val="00E27FF2"/>
    <w:rsid w:val="00E44ECA"/>
    <w:rsid w:val="00E541DC"/>
    <w:rsid w:val="00EE1943"/>
    <w:rsid w:val="00FD429A"/>
    <w:rsid w:val="00FE7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CBCBA2"/>
  <w15:chartTrackingRefBased/>
  <w15:docId w15:val="{81812ACD-A94E-42F5-AB4F-3A68F15061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B5FB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B5FB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E541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A17C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032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3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6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omplianceforge.com/blog/nist-800171-vs-cmmc/" TargetMode="Externa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yperlink" Target="https://www.complianceforge.com/blog/nist-800171-vs-cmmc/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acq.osd.mil/cmmc/docs/CMMC_AG_Lvl3_20201208_editable.pdf" TargetMode="External"/><Relationship Id="rId11" Type="http://schemas.openxmlformats.org/officeDocument/2006/relationships/image" Target="media/image3.jpeg"/><Relationship Id="rId5" Type="http://schemas.openxmlformats.org/officeDocument/2006/relationships/hyperlink" Target="https://nvlpubs.nist.gov/nistpubs/SpecialPublications/NIST.SP.800-171A.pdf" TargetMode="External"/><Relationship Id="rId15" Type="http://schemas.openxmlformats.org/officeDocument/2006/relationships/fontTable" Target="fontTable.xml"/><Relationship Id="rId10" Type="http://schemas.openxmlformats.org/officeDocument/2006/relationships/hyperlink" Target="https://www.complianceforge.com/blog/nist-800171-vs-cmmc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yperlink" Target="https://www.complianceforge.com/blog/nist-800171-vs-cmmc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411</TotalTime>
  <Pages>3</Pages>
  <Words>419</Words>
  <Characters>2392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jsutton9</dc:creator>
  <cp:keywords/>
  <dc:description/>
  <cp:lastModifiedBy>jsutton9</cp:lastModifiedBy>
  <cp:revision>40</cp:revision>
  <dcterms:created xsi:type="dcterms:W3CDTF">2021-02-06T03:33:00Z</dcterms:created>
  <dcterms:modified xsi:type="dcterms:W3CDTF">2021-02-07T02:41:00Z</dcterms:modified>
</cp:coreProperties>
</file>