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B0EC3" w14:textId="77777777" w:rsidR="00782805" w:rsidRDefault="00000000">
      <w:pPr>
        <w:pStyle w:val="Section"/>
      </w:pPr>
      <w:r>
        <w:t>Sec. 30-4.8. Development compatibility.</w:t>
      </w:r>
    </w:p>
    <w:p w14:paraId="6462235C" w14:textId="77777777" w:rsidR="00782805" w:rsidRDefault="00000000">
      <w:pPr>
        <w:pStyle w:val="List1"/>
      </w:pPr>
      <w:r>
        <w:t>A.</w:t>
      </w:r>
      <w:r>
        <w:tab/>
      </w:r>
      <w:r>
        <w:rPr>
          <w:i/>
        </w:rPr>
        <w:t>Setbacks.</w:t>
      </w:r>
    </w:p>
    <w:p w14:paraId="23F36D12" w14:textId="77777777" w:rsidR="00782805" w:rsidRDefault="00000000">
      <w:pPr>
        <w:pStyle w:val="List2"/>
      </w:pPr>
      <w:r>
        <w:t>1.</w:t>
      </w:r>
      <w:r>
        <w:tab/>
        <w:t xml:space="preserve">Whenever a zero foot setback is allowed in a zoning district, it may only be used if the abutting property is within a district that allows the same setback. </w:t>
      </w:r>
    </w:p>
    <w:p w14:paraId="4CAC0D8D" w14:textId="0E049AEB" w:rsidR="00782805" w:rsidRDefault="00000000">
      <w:pPr>
        <w:pStyle w:val="List2"/>
      </w:pPr>
      <w:r>
        <w:t>2.</w:t>
      </w:r>
      <w:r>
        <w:tab/>
        <w:t xml:space="preserve">The minimum required side and rear setback for nonresidential buildings located on property abutting a single-family zoning district </w:t>
      </w:r>
      <w:del w:id="0" w:author="Adrian Hayes-Santos" w:date="2025-09-09T01:45:00Z" w16du:dateUtc="2025-09-09T05:45:00Z">
        <w:r w:rsidDel="00CD1A2F">
          <w:delText xml:space="preserve">or the U1 district </w:delText>
        </w:r>
      </w:del>
      <w:r>
        <w:t xml:space="preserve">shall be the same as the setback required on the adjacent residential lot or as determined by the required buffer, whichever is greater. </w:t>
      </w:r>
    </w:p>
    <w:p w14:paraId="7F90B508" w14:textId="4A41A29E" w:rsidR="00782805" w:rsidRDefault="00000000">
      <w:pPr>
        <w:pStyle w:val="List1"/>
      </w:pPr>
      <w:r>
        <w:t>B.</w:t>
      </w:r>
      <w:r>
        <w:tab/>
      </w:r>
      <w:r>
        <w:rPr>
          <w:i/>
        </w:rPr>
        <w:t>Limitations on uses.</w:t>
      </w:r>
      <w:r>
        <w:t xml:space="preserve"> All industrial or commercial activity and uses, except storage of equipment and parking, shall be conducted within completely enclosed buildings when located within 300 feet of any property that is in a single-family zoning district</w:t>
      </w:r>
      <w:del w:id="1" w:author="Adrian Hayes-Santos" w:date="2025-09-09T01:45:00Z" w16du:dateUtc="2025-09-09T05:45:00Z">
        <w:r w:rsidDel="00CD1A2F">
          <w:delText xml:space="preserve"> or the U1 district</w:delText>
        </w:r>
      </w:del>
      <w:r>
        <w:t xml:space="preserve">. </w:t>
      </w:r>
    </w:p>
    <w:p w14:paraId="6D7DF9CD" w14:textId="77777777" w:rsidR="00782805" w:rsidRDefault="00000000">
      <w:pPr>
        <w:pStyle w:val="List1"/>
      </w:pPr>
      <w:r>
        <w:t>C.</w:t>
      </w:r>
      <w:r>
        <w:tab/>
      </w:r>
      <w:r>
        <w:rPr>
          <w:i/>
        </w:rPr>
        <w:t>Building height and massing.</w:t>
      </w:r>
    </w:p>
    <w:tbl>
      <w:tblPr>
        <w:tblStyle w:val="Tabl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14"/>
        <w:gridCol w:w="3114"/>
        <w:gridCol w:w="2"/>
        <w:gridCol w:w="3110"/>
      </w:tblGrid>
      <w:tr w:rsidR="00782805" w14:paraId="4C5DF951" w14:textId="77777777">
        <w:tc>
          <w:tcPr>
            <w:tcW w:w="1667" w:type="pct"/>
            <w:shd w:val="clear" w:color="auto" w:fill="C0C0C0"/>
          </w:tcPr>
          <w:p w14:paraId="14E51E18" w14:textId="77777777" w:rsidR="00782805" w:rsidRDefault="00000000">
            <w:r>
              <w:rPr>
                <w:b/>
                <w:sz w:val="22"/>
              </w:rPr>
              <w:t>Within 100' of the Following Districts:</w:t>
            </w:r>
          </w:p>
        </w:tc>
        <w:tc>
          <w:tcPr>
            <w:tcW w:w="3333" w:type="pct"/>
            <w:gridSpan w:val="3"/>
            <w:shd w:val="clear" w:color="auto" w:fill="C0C0C0"/>
          </w:tcPr>
          <w:p w14:paraId="34C0327F" w14:textId="77777777" w:rsidR="00782805" w:rsidRDefault="00000000">
            <w:r>
              <w:rPr>
                <w:b/>
                <w:sz w:val="22"/>
              </w:rPr>
              <w:t>Max. Building Height</w:t>
            </w:r>
          </w:p>
        </w:tc>
      </w:tr>
      <w:tr w:rsidR="00782805" w14:paraId="49BC30EB" w14:textId="77777777">
        <w:tc>
          <w:tcPr>
            <w:tcW w:w="1667" w:type="pct"/>
          </w:tcPr>
          <w:p w14:paraId="4C3287B2" w14:textId="77777777" w:rsidR="00782805" w:rsidRDefault="00000000">
            <w:r>
              <w:rPr>
                <w:sz w:val="22"/>
              </w:rPr>
              <w:t xml:space="preserve">Single-Family Zoning </w:t>
            </w:r>
          </w:p>
        </w:tc>
        <w:tc>
          <w:tcPr>
            <w:tcW w:w="1667" w:type="pct"/>
          </w:tcPr>
          <w:p w14:paraId="498C8763" w14:textId="7840F956" w:rsidR="00782805" w:rsidRDefault="00000000">
            <w:r>
              <w:rPr>
                <w:sz w:val="22"/>
              </w:rPr>
              <w:t xml:space="preserve">3 stories and 36' </w:t>
            </w:r>
          </w:p>
        </w:tc>
        <w:tc>
          <w:tcPr>
            <w:tcW w:w="1667" w:type="pct"/>
            <w:gridSpan w:val="2"/>
            <w:vMerge w:val="restart"/>
          </w:tcPr>
          <w:p w14:paraId="2F32C4FF" w14:textId="31DB544B" w:rsidR="00782805" w:rsidRDefault="00000000">
            <w:r>
              <w:rPr>
                <w:sz w:val="22"/>
              </w:rPr>
              <w:t xml:space="preserve">Building facades shall not exceed 60' unless a substantial volume break is provided, such as a volume recess with a minimum 10' depth. </w:t>
            </w:r>
          </w:p>
        </w:tc>
      </w:tr>
      <w:tr w:rsidR="00782805" w14:paraId="0CD9B8FF" w14:textId="77777777">
        <w:trPr>
          <w:gridAfter w:val="1"/>
          <w:wAfter w:w="216" w:type="dxa"/>
        </w:trPr>
        <w:tc>
          <w:tcPr>
            <w:tcW w:w="1667" w:type="pct"/>
          </w:tcPr>
          <w:p w14:paraId="53AD8FBF" w14:textId="22EC4BB6" w:rsidR="00782805" w:rsidRDefault="00000000">
            <w:del w:id="2" w:author="Adrian Hayes-Santos" w:date="2025-09-09T01:50:00Z" w16du:dateUtc="2025-09-09T05:50:00Z">
              <w:r w:rsidDel="00CD1A2F">
                <w:rPr>
                  <w:sz w:val="22"/>
                </w:rPr>
                <w:delText xml:space="preserve">U1 </w:delText>
              </w:r>
            </w:del>
          </w:p>
        </w:tc>
        <w:tc>
          <w:tcPr>
            <w:tcW w:w="1667" w:type="pct"/>
            <w:vMerge w:val="restart"/>
          </w:tcPr>
          <w:p w14:paraId="44706D33" w14:textId="77777777" w:rsidR="00782805" w:rsidRDefault="00000000">
            <w:r>
              <w:rPr>
                <w:sz w:val="22"/>
              </w:rPr>
              <w:t>• Measured to the roof peak with a hip, gable, mansard or similar roof where the 3</w:t>
            </w:r>
            <w:r>
              <w:rPr>
                <w:sz w:val="22"/>
                <w:vertAlign w:val="superscript"/>
              </w:rPr>
              <w:t xml:space="preserve">rd </w:t>
            </w:r>
            <w:r>
              <w:rPr>
                <w:sz w:val="22"/>
              </w:rPr>
              <w:t xml:space="preserve">floor is above the roof line, or </w:t>
            </w:r>
          </w:p>
        </w:tc>
        <w:tc>
          <w:tcPr>
            <w:tcW w:w="1667" w:type="pct"/>
            <w:vMerge/>
          </w:tcPr>
          <w:p w14:paraId="281A1D10" w14:textId="77777777" w:rsidR="00782805" w:rsidRDefault="00782805"/>
        </w:tc>
      </w:tr>
      <w:tr w:rsidR="00782805" w14:paraId="64EC7BEA" w14:textId="77777777">
        <w:trPr>
          <w:gridAfter w:val="1"/>
          <w:wAfter w:w="216" w:type="dxa"/>
        </w:trPr>
        <w:tc>
          <w:tcPr>
            <w:tcW w:w="1667" w:type="pct"/>
          </w:tcPr>
          <w:p w14:paraId="179ABB5F" w14:textId="77777777" w:rsidR="00782805" w:rsidRDefault="00000000">
            <w:r>
              <w:rPr>
                <w:sz w:val="22"/>
              </w:rPr>
              <w:t xml:space="preserve">Historic District (except University Heights-South) </w:t>
            </w:r>
          </w:p>
        </w:tc>
        <w:tc>
          <w:tcPr>
            <w:tcW w:w="1667" w:type="pct"/>
            <w:vMerge/>
          </w:tcPr>
          <w:p w14:paraId="2612EFD9" w14:textId="77777777" w:rsidR="00782805" w:rsidRDefault="00782805"/>
        </w:tc>
        <w:tc>
          <w:tcPr>
            <w:tcW w:w="1667" w:type="pct"/>
            <w:vMerge/>
          </w:tcPr>
          <w:p w14:paraId="3F88247C" w14:textId="77777777" w:rsidR="00782805" w:rsidRDefault="00782805"/>
        </w:tc>
      </w:tr>
      <w:tr w:rsidR="00782805" w14:paraId="5B8641B4" w14:textId="77777777">
        <w:trPr>
          <w:gridAfter w:val="1"/>
          <w:wAfter w:w="216" w:type="dxa"/>
        </w:trPr>
        <w:tc>
          <w:tcPr>
            <w:tcW w:w="1667" w:type="pct"/>
          </w:tcPr>
          <w:p w14:paraId="5F5ABC2A" w14:textId="77777777" w:rsidR="00782805" w:rsidRDefault="00782805"/>
        </w:tc>
        <w:tc>
          <w:tcPr>
            <w:tcW w:w="1667" w:type="pct"/>
          </w:tcPr>
          <w:p w14:paraId="36F17046" w14:textId="77777777" w:rsidR="00782805" w:rsidRDefault="00000000">
            <w:r>
              <w:rPr>
                <w:sz w:val="22"/>
              </w:rPr>
              <w:t>• Measured to the top plate of the 3</w:t>
            </w:r>
            <w:r>
              <w:rPr>
                <w:sz w:val="22"/>
                <w:vertAlign w:val="superscript"/>
              </w:rPr>
              <w:t xml:space="preserve">rd </w:t>
            </w:r>
            <w:r>
              <w:rPr>
                <w:sz w:val="22"/>
              </w:rPr>
              <w:t xml:space="preserve">floor with a flat or similar roof. </w:t>
            </w:r>
          </w:p>
        </w:tc>
        <w:tc>
          <w:tcPr>
            <w:tcW w:w="1667" w:type="pct"/>
            <w:vMerge/>
          </w:tcPr>
          <w:p w14:paraId="676CFF2D" w14:textId="77777777" w:rsidR="00782805" w:rsidRDefault="00782805"/>
        </w:tc>
      </w:tr>
      <w:tr w:rsidR="00782805" w14:paraId="2589252E" w14:textId="77777777">
        <w:tc>
          <w:tcPr>
            <w:tcW w:w="1667" w:type="pct"/>
            <w:vMerge w:val="restart"/>
          </w:tcPr>
          <w:p w14:paraId="489386DC" w14:textId="77777777" w:rsidR="00782805" w:rsidRDefault="00000000">
            <w:r>
              <w:rPr>
                <w:sz w:val="22"/>
              </w:rPr>
              <w:t xml:space="preserve">University Heights-South Historic District </w:t>
            </w:r>
          </w:p>
        </w:tc>
        <w:tc>
          <w:tcPr>
            <w:tcW w:w="3333" w:type="pct"/>
            <w:gridSpan w:val="3"/>
          </w:tcPr>
          <w:p w14:paraId="5EA9720C" w14:textId="0E9B261B" w:rsidR="00782805" w:rsidRDefault="00000000">
            <w:r>
              <w:rPr>
                <w:sz w:val="22"/>
              </w:rPr>
              <w:t xml:space="preserve">4 stories and 60' </w:t>
            </w:r>
          </w:p>
        </w:tc>
      </w:tr>
      <w:tr w:rsidR="00782805" w14:paraId="00031D60" w14:textId="77777777">
        <w:tc>
          <w:tcPr>
            <w:tcW w:w="1667" w:type="pct"/>
            <w:vMerge/>
          </w:tcPr>
          <w:p w14:paraId="196421FE" w14:textId="77777777" w:rsidR="00782805" w:rsidRDefault="00782805"/>
        </w:tc>
        <w:tc>
          <w:tcPr>
            <w:tcW w:w="3333" w:type="pct"/>
            <w:gridSpan w:val="3"/>
          </w:tcPr>
          <w:p w14:paraId="3178BD4E" w14:textId="77777777" w:rsidR="00782805" w:rsidRDefault="00000000">
            <w:r>
              <w:rPr>
                <w:sz w:val="22"/>
              </w:rPr>
              <w:t>• Measured to the top plate of the 4</w:t>
            </w:r>
            <w:r>
              <w:rPr>
                <w:sz w:val="22"/>
                <w:vertAlign w:val="superscript"/>
              </w:rPr>
              <w:t xml:space="preserve">th </w:t>
            </w:r>
            <w:r>
              <w:rPr>
                <w:sz w:val="22"/>
              </w:rPr>
              <w:t xml:space="preserve">floor. </w:t>
            </w:r>
          </w:p>
        </w:tc>
      </w:tr>
      <w:tr w:rsidR="00782805" w14:paraId="6090464C" w14:textId="77777777">
        <w:tc>
          <w:tcPr>
            <w:tcW w:w="1667" w:type="pct"/>
            <w:shd w:val="clear" w:color="auto" w:fill="C0C0C0"/>
          </w:tcPr>
          <w:p w14:paraId="128A9CA8" w14:textId="77777777" w:rsidR="00782805" w:rsidRDefault="00000000">
            <w:r>
              <w:rPr>
                <w:b/>
                <w:sz w:val="22"/>
              </w:rPr>
              <w:t>Within the Following Districts:</w:t>
            </w:r>
          </w:p>
        </w:tc>
        <w:tc>
          <w:tcPr>
            <w:tcW w:w="3333" w:type="pct"/>
            <w:gridSpan w:val="3"/>
            <w:shd w:val="clear" w:color="auto" w:fill="C0C0C0"/>
          </w:tcPr>
          <w:p w14:paraId="6AA89606" w14:textId="77777777" w:rsidR="00782805" w:rsidRDefault="00000000">
            <w:r>
              <w:rPr>
                <w:b/>
                <w:sz w:val="22"/>
              </w:rPr>
              <w:t>Max. Building Height</w:t>
            </w:r>
          </w:p>
        </w:tc>
      </w:tr>
      <w:tr w:rsidR="00782805" w14:paraId="38DEC329" w14:textId="77777777">
        <w:tc>
          <w:tcPr>
            <w:tcW w:w="1667" w:type="pct"/>
          </w:tcPr>
          <w:p w14:paraId="19E5B92A" w14:textId="77777777" w:rsidR="00782805" w:rsidRDefault="00000000">
            <w:r>
              <w:rPr>
                <w:sz w:val="22"/>
              </w:rPr>
              <w:t xml:space="preserve">Pleasant Street Historic District </w:t>
            </w:r>
          </w:p>
        </w:tc>
        <w:tc>
          <w:tcPr>
            <w:tcW w:w="3333" w:type="pct"/>
            <w:gridSpan w:val="3"/>
          </w:tcPr>
          <w:p w14:paraId="1CFD34C9" w14:textId="72DC8007" w:rsidR="00782805" w:rsidRDefault="00000000">
            <w:r>
              <w:rPr>
                <w:sz w:val="22"/>
              </w:rPr>
              <w:t xml:space="preserve">3 stories and 36' </w:t>
            </w:r>
          </w:p>
        </w:tc>
      </w:tr>
      <w:tr w:rsidR="00782805" w14:paraId="7D27F658" w14:textId="77777777">
        <w:tc>
          <w:tcPr>
            <w:tcW w:w="1667" w:type="pct"/>
          </w:tcPr>
          <w:p w14:paraId="54F1C1F4" w14:textId="77777777" w:rsidR="00782805" w:rsidRDefault="00000000">
            <w:r>
              <w:rPr>
                <w:sz w:val="22"/>
              </w:rPr>
              <w:t xml:space="preserve">Power District </w:t>
            </w:r>
          </w:p>
        </w:tc>
        <w:tc>
          <w:tcPr>
            <w:tcW w:w="3333" w:type="pct"/>
            <w:gridSpan w:val="3"/>
          </w:tcPr>
          <w:p w14:paraId="59AA811C" w14:textId="2A35D678" w:rsidR="00782805" w:rsidRDefault="00000000">
            <w:r>
              <w:rPr>
                <w:sz w:val="22"/>
              </w:rPr>
              <w:t xml:space="preserve">6 stories, but </w:t>
            </w:r>
            <w:r>
              <w:rPr>
                <w:sz w:val="22"/>
              </w:rPr>
              <w:br/>
              <w:t xml:space="preserve">3 stories when adjacent to residential zoning, with a step-back of 15' per additional building story up to max. permitted. </w:t>
            </w:r>
          </w:p>
        </w:tc>
      </w:tr>
    </w:tbl>
    <w:p w14:paraId="012292BF" w14:textId="77777777" w:rsidR="00782805" w:rsidRDefault="00782805"/>
    <w:p w14:paraId="266457C5" w14:textId="77777777" w:rsidR="00782805" w:rsidRDefault="00782805">
      <w:pPr>
        <w:pStyle w:val="Block1"/>
      </w:pPr>
    </w:p>
    <w:p w14:paraId="7287E4C0" w14:textId="77777777" w:rsidR="00782805" w:rsidRDefault="00000000">
      <w:pPr>
        <w:pStyle w:val="ImageCaptionAboveLeft"/>
      </w:pPr>
      <w:r>
        <w:lastRenderedPageBreak/>
        <w:t>Figure 1: Height Compatibility Pitched Roof Example</w:t>
      </w:r>
      <w:r>
        <w:br/>
      </w:r>
    </w:p>
    <w:p w14:paraId="625F8A54" w14:textId="77777777" w:rsidR="00782805" w:rsidRDefault="00000000">
      <w:pPr>
        <w:pStyle w:val="ImageLeft"/>
      </w:pPr>
      <w:r>
        <w:rPr>
          <w:noProof/>
        </w:rPr>
        <w:drawing>
          <wp:inline distT="0" distB="0" distL="0" distR="0" wp14:anchorId="00944847" wp14:editId="53A58244">
            <wp:extent cx="4572000" cy="1549400"/>
            <wp:effectExtent l="0" t="0" r="0" b="0"/>
            <wp:docPr id="1" name="Drawing 0" descr="30-4-8Fig1.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4572000" cy="1549400"/>
                    </a:xfrm>
                    <a:prstGeom prst="rect">
                      <a:avLst/>
                    </a:prstGeom>
                  </pic:spPr>
                </pic:pic>
              </a:graphicData>
            </a:graphic>
          </wp:inline>
        </w:drawing>
      </w:r>
    </w:p>
    <w:p w14:paraId="064AA265" w14:textId="77777777" w:rsidR="00782805" w:rsidRDefault="00782805">
      <w:pPr>
        <w:pStyle w:val="Block1"/>
      </w:pPr>
    </w:p>
    <w:p w14:paraId="7844A30D" w14:textId="77777777" w:rsidR="00782805" w:rsidRDefault="00000000">
      <w:pPr>
        <w:pStyle w:val="ImageCaptionAboveLeft"/>
      </w:pPr>
      <w:r>
        <w:t>Figure 2: Height Compatibility Flat Roof Example</w:t>
      </w:r>
      <w:r>
        <w:br/>
      </w:r>
    </w:p>
    <w:p w14:paraId="7C3029EC" w14:textId="77777777" w:rsidR="00782805" w:rsidRDefault="00000000">
      <w:pPr>
        <w:pStyle w:val="ImageLeft"/>
      </w:pPr>
      <w:r>
        <w:rPr>
          <w:noProof/>
        </w:rPr>
        <w:drawing>
          <wp:inline distT="0" distB="0" distL="0" distR="0" wp14:anchorId="0F834692" wp14:editId="3A370224">
            <wp:extent cx="4572000" cy="1536700"/>
            <wp:effectExtent l="0" t="0" r="0" b="0"/>
            <wp:docPr id="2" name="Drawing 1" descr="30-4-8Fig2a.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4572000" cy="1536700"/>
                    </a:xfrm>
                    <a:prstGeom prst="rect">
                      <a:avLst/>
                    </a:prstGeom>
                  </pic:spPr>
                </pic:pic>
              </a:graphicData>
            </a:graphic>
          </wp:inline>
        </w:drawing>
      </w:r>
    </w:p>
    <w:p w14:paraId="5EC53AD8" w14:textId="77777777" w:rsidR="00782805" w:rsidRDefault="00782805">
      <w:pPr>
        <w:pStyle w:val="Block1"/>
      </w:pPr>
    </w:p>
    <w:p w14:paraId="4F6F50E7" w14:textId="77777777" w:rsidR="00782805" w:rsidRDefault="00000000">
      <w:pPr>
        <w:pStyle w:val="ImageCaptionAboveLeft"/>
      </w:pPr>
      <w:r>
        <w:t>Figure 2: Height Compatibility University Heights</w:t>
      </w:r>
      <w:r>
        <w:br/>
      </w:r>
    </w:p>
    <w:p w14:paraId="7C7F7EFD" w14:textId="77777777" w:rsidR="00782805" w:rsidRDefault="00000000">
      <w:pPr>
        <w:pStyle w:val="ImageLeft"/>
      </w:pPr>
      <w:r>
        <w:rPr>
          <w:noProof/>
        </w:rPr>
        <w:drawing>
          <wp:inline distT="0" distB="0" distL="0" distR="0" wp14:anchorId="6B59F445" wp14:editId="74FCE90F">
            <wp:extent cx="4572000" cy="2476500"/>
            <wp:effectExtent l="0" t="0" r="0" b="0"/>
            <wp:docPr id="3" name="Drawing 2" descr="30-4-8Fig2b.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4572000" cy="2476500"/>
                    </a:xfrm>
                    <a:prstGeom prst="rect">
                      <a:avLst/>
                    </a:prstGeom>
                  </pic:spPr>
                </pic:pic>
              </a:graphicData>
            </a:graphic>
          </wp:inline>
        </w:drawing>
      </w:r>
    </w:p>
    <w:p w14:paraId="42379E48" w14:textId="77777777" w:rsidR="00782805" w:rsidRDefault="00000000">
      <w:pPr>
        <w:pStyle w:val="ImageCenter"/>
      </w:pPr>
      <w:r>
        <w:rPr>
          <w:noProof/>
        </w:rPr>
        <w:lastRenderedPageBreak/>
        <w:drawing>
          <wp:inline distT="0" distB="0" distL="0" distR="0" wp14:anchorId="2585D72B" wp14:editId="1A9C43B2">
            <wp:extent cx="5334000" cy="4254500"/>
            <wp:effectExtent l="0" t="0" r="0" b="0"/>
            <wp:docPr id="4" name="Drawing 3" descr="30-4-8-map.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334000" cy="4254500"/>
                    </a:xfrm>
                    <a:prstGeom prst="rect">
                      <a:avLst/>
                    </a:prstGeom>
                  </pic:spPr>
                </pic:pic>
              </a:graphicData>
            </a:graphic>
          </wp:inline>
        </w:drawing>
      </w:r>
    </w:p>
    <w:p w14:paraId="6ABFF90F" w14:textId="77777777" w:rsidR="00782805" w:rsidRDefault="00000000">
      <w:pPr>
        <w:pStyle w:val="List1"/>
      </w:pPr>
      <w:r>
        <w:t>D.</w:t>
      </w:r>
      <w:r>
        <w:tab/>
      </w:r>
      <w:r>
        <w:rPr>
          <w:i/>
        </w:rPr>
        <w:t>Multi-family developments.</w:t>
      </w:r>
    </w:p>
    <w:p w14:paraId="61C2AA89" w14:textId="77777777" w:rsidR="00782805" w:rsidRDefault="00000000">
      <w:pPr>
        <w:pStyle w:val="List2"/>
      </w:pPr>
      <w:r>
        <w:t>1.</w:t>
      </w:r>
      <w:r>
        <w:tab/>
      </w:r>
      <w:r>
        <w:rPr>
          <w:i/>
        </w:rPr>
        <w:t>Generally.</w:t>
      </w:r>
      <w:r>
        <w:t xml:space="preserve"> Multi-family development shall contain no more than six dwelling units per building and shall be in the form of single-family dwellings, attached dwellings, or small-scale multi-family when located within 100 feet of any property that is in a single-family zoning district, the U1 district, or a designated historic district. </w:t>
      </w:r>
    </w:p>
    <w:p w14:paraId="04152DCE" w14:textId="77777777" w:rsidR="00782805" w:rsidRDefault="00000000">
      <w:pPr>
        <w:pStyle w:val="List2"/>
      </w:pPr>
      <w:r>
        <w:t>2.</w:t>
      </w:r>
      <w:r>
        <w:tab/>
      </w:r>
      <w:r>
        <w:rPr>
          <w:i/>
        </w:rPr>
        <w:t>Abutting single-family property.</w:t>
      </w:r>
      <w:r>
        <w:t xml:space="preserve"> All new multi-family projects, whether stand alone or part of a mixed-use project, abutting property in a residential district or a planned development district with predominantly residential uses shall comply with the following regulations: </w:t>
      </w:r>
    </w:p>
    <w:p w14:paraId="3B8AD7C2" w14:textId="77777777" w:rsidR="00782805" w:rsidRDefault="00000000">
      <w:pPr>
        <w:pStyle w:val="List3"/>
      </w:pPr>
      <w:r>
        <w:t>a.</w:t>
      </w:r>
      <w:r>
        <w:tab/>
        <w:t xml:space="preserve">There shall be no outdoor recreation areas or uses allowed within any required building setback area or landscape buffer between abutting multi-family development and single-family designated properties. </w:t>
      </w:r>
    </w:p>
    <w:p w14:paraId="5883EF7D" w14:textId="77777777" w:rsidR="00782805" w:rsidRDefault="00000000">
      <w:pPr>
        <w:pStyle w:val="List3"/>
      </w:pPr>
      <w:r>
        <w:t>b.</w:t>
      </w:r>
      <w:r>
        <w:tab/>
        <w:t xml:space="preserve">Active recreation areas (including swimming pools, tennis courts, basketball, and volleyball courts) shall be located away from abutting single-family designated properties and shall be oriented in the development to minimize noise impacts on single-family designated properties. </w:t>
      </w:r>
    </w:p>
    <w:p w14:paraId="58876939" w14:textId="77777777" w:rsidR="00782805" w:rsidRDefault="00000000">
      <w:pPr>
        <w:pStyle w:val="List3"/>
      </w:pPr>
      <w:r>
        <w:t>c.</w:t>
      </w:r>
      <w:r>
        <w:tab/>
        <w:t xml:space="preserve">There shall be no car washing areas, dumpsters, recycling bins, or other trash/waste disposal facilities placed in the required setback area between multi-family development and properties zoned for single-family use. </w:t>
      </w:r>
    </w:p>
    <w:p w14:paraId="5DDC8F3D" w14:textId="77777777" w:rsidR="00782805" w:rsidRDefault="00000000">
      <w:pPr>
        <w:pStyle w:val="List3"/>
      </w:pPr>
      <w:r>
        <w:t>d.</w:t>
      </w:r>
      <w:r>
        <w:tab/>
        <w:t xml:space="preserve">Parking lots and driveways located in the area between multi-family and abutting single-family designated properties shall be limited to a single-loaded row of parking and a two-way driveway. </w:t>
      </w:r>
    </w:p>
    <w:p w14:paraId="717007B3" w14:textId="77777777" w:rsidR="00782805" w:rsidRDefault="00000000">
      <w:pPr>
        <w:pStyle w:val="List3"/>
      </w:pPr>
      <w:r>
        <w:lastRenderedPageBreak/>
        <w:t>e.</w:t>
      </w:r>
      <w:r>
        <w:tab/>
        <w:t xml:space="preserve">A decorative masonry wall (or equivalent material in noise attenuation and visual screening) with a minimum height of six feet and a maximum height of eight feet plus a Type B landscape buffer shall separate multi-family residential development from properties designated single-family residential. However, driveways, emergency vehicle access, or pedestrian/bicycle access may interrupt a continuous wall. If, in the professional judgment of city staff or other professional experts, masonry wall construction would damage or endanger significant trees or other natural features, the appropriate reviewing authority may authorize the use of a fence and/or additional landscape buffer area to substitute for the required masonry wall. There shall be no requirement for a masonry wall or equivalent if buildings are 200 or more feet from abutting single-family properties. In addition, the appropriate reviewing authority may allow an increased vegetative buffer and tree requirement to substitute for the required masonry wall. </w:t>
      </w:r>
    </w:p>
    <w:p w14:paraId="71E4577C" w14:textId="77777777" w:rsidR="00782805" w:rsidRDefault="00000000">
      <w:pPr>
        <w:pStyle w:val="List3"/>
      </w:pPr>
      <w:r>
        <w:t>f.</w:t>
      </w:r>
      <w:r>
        <w:tab/>
        <w:t xml:space="preserve">The primary driveway access shall be on a collector or arterial street, if available. Secondary ingress/egress and emergency access may be on or from local streets. </w:t>
      </w:r>
    </w:p>
    <w:p w14:paraId="5FFD1AD1" w14:textId="2388014D" w:rsidR="00782805" w:rsidDel="00CD1A2F" w:rsidRDefault="00000000">
      <w:pPr>
        <w:pStyle w:val="List2"/>
        <w:rPr>
          <w:del w:id="3" w:author="Adrian Hayes-Santos" w:date="2025-09-09T01:49:00Z" w16du:dateUtc="2025-09-09T05:49:00Z"/>
        </w:rPr>
      </w:pPr>
      <w:del w:id="4" w:author="Adrian Hayes-Santos" w:date="2025-09-09T01:49:00Z" w16du:dateUtc="2025-09-09T05:49:00Z">
        <w:r w:rsidDel="00CD1A2F">
          <w:delText>3.</w:delText>
        </w:r>
        <w:r w:rsidDel="00CD1A2F">
          <w:tab/>
        </w:r>
        <w:r w:rsidDel="00CD1A2F">
          <w:rPr>
            <w:i/>
          </w:rPr>
          <w:delText>Bedroom limit.</w:delText>
        </w:r>
        <w:r w:rsidDel="00CD1A2F">
          <w:delText xml:space="preserve"> Maximum number of bedrooms in multi-family developments located within the University of Florida Context Area. </w:delText>
        </w:r>
      </w:del>
    </w:p>
    <w:p w14:paraId="0BFABDFD" w14:textId="1CF277C0" w:rsidR="00782805" w:rsidDel="00CD1A2F" w:rsidRDefault="00000000">
      <w:pPr>
        <w:pStyle w:val="List3"/>
        <w:rPr>
          <w:del w:id="5" w:author="Adrian Hayes-Santos" w:date="2025-09-09T01:49:00Z" w16du:dateUtc="2025-09-09T05:49:00Z"/>
        </w:rPr>
      </w:pPr>
      <w:del w:id="6" w:author="Adrian Hayes-Santos" w:date="2025-09-09T01:49:00Z" w16du:dateUtc="2025-09-09T05:49:00Z">
        <w:r w:rsidDel="00CD1A2F">
          <w:delText>a.</w:delText>
        </w:r>
        <w:r w:rsidDel="00CD1A2F">
          <w:tab/>
          <w:delText xml:space="preserve">Multi-family developments shall be limited to a maximum number of bedrooms based on the development's maximum residential density allowed by the zoning district multiplied by a 2.75 multiplier. </w:delText>
        </w:r>
      </w:del>
    </w:p>
    <w:p w14:paraId="2D574244" w14:textId="26654619" w:rsidR="00782805" w:rsidDel="00CD1A2F" w:rsidRDefault="00000000">
      <w:pPr>
        <w:pStyle w:val="List3"/>
        <w:rPr>
          <w:del w:id="7" w:author="Adrian Hayes-Santos" w:date="2025-09-09T01:49:00Z" w16du:dateUtc="2025-09-09T05:49:00Z"/>
        </w:rPr>
      </w:pPr>
      <w:del w:id="8" w:author="Adrian Hayes-Santos" w:date="2025-09-09T01:49:00Z" w16du:dateUtc="2025-09-09T05:49:00Z">
        <w:r w:rsidDel="00CD1A2F">
          <w:delText>b.</w:delText>
        </w:r>
        <w:r w:rsidDel="00CD1A2F">
          <w:tab/>
          <w:delText xml:space="preserve">If additional density is approved through a special use permit, then the multiplier is applied to the total approved density inclusive of any additional units approved by special use permit. </w:delText>
        </w:r>
      </w:del>
    </w:p>
    <w:p w14:paraId="0795FCC1" w14:textId="07D1A1C0" w:rsidR="00782805" w:rsidDel="00CD1A2F" w:rsidRDefault="00000000">
      <w:pPr>
        <w:pStyle w:val="List3"/>
        <w:rPr>
          <w:del w:id="9" w:author="Adrian Hayes-Santos" w:date="2025-09-09T01:49:00Z" w16du:dateUtc="2025-09-09T05:49:00Z"/>
        </w:rPr>
      </w:pPr>
      <w:del w:id="10" w:author="Adrian Hayes-Santos" w:date="2025-09-09T01:49:00Z" w16du:dateUtc="2025-09-09T05:49:00Z">
        <w:r w:rsidDel="00CD1A2F">
          <w:delText>c.</w:delText>
        </w:r>
        <w:r w:rsidDel="00CD1A2F">
          <w:tab/>
          <w:delText xml:space="preserve">The bedroom mix in the development (i.e., the number of units with a specific number of bedrooms) is not regulated by those provisions. </w:delText>
        </w:r>
      </w:del>
    </w:p>
    <w:p w14:paraId="200E279F" w14:textId="2890B53C" w:rsidR="00782805" w:rsidDel="00CD1A2F" w:rsidRDefault="00000000">
      <w:pPr>
        <w:pStyle w:val="List3"/>
        <w:rPr>
          <w:del w:id="11" w:author="Adrian Hayes-Santos" w:date="2025-09-09T01:49:00Z" w16du:dateUtc="2025-09-09T05:49:00Z"/>
        </w:rPr>
      </w:pPr>
      <w:del w:id="12" w:author="Adrian Hayes-Santos" w:date="2025-09-09T01:49:00Z" w16du:dateUtc="2025-09-09T05:49:00Z">
        <w:r w:rsidDel="00CD1A2F">
          <w:delText>d.</w:delText>
        </w:r>
        <w:r w:rsidDel="00CD1A2F">
          <w:tab/>
          <w:delText xml:space="preserve">Developments with planned development (PD) zoning are not subject to the bedroom multiplier. </w:delText>
        </w:r>
      </w:del>
    </w:p>
    <w:p w14:paraId="5A12B861" w14:textId="77777777" w:rsidR="00782805" w:rsidRDefault="00000000">
      <w:pPr>
        <w:pStyle w:val="HistoryNote"/>
      </w:pPr>
      <w:r>
        <w:t>(Ord. No. 170974, § 5, 2-21-19; Ord. No. 211359, § 4, 10-17-22; Ord. No. 2023-169, § 4, 6-1-23)</w:t>
      </w:r>
    </w:p>
    <w:p w14:paraId="1B38553B" w14:textId="77777777" w:rsidR="00782805" w:rsidRDefault="00782805">
      <w:pPr>
        <w:spacing w:before="0" w:after="0"/>
        <w:sectPr w:rsidR="00782805">
          <w:headerReference w:type="default" r:id="rId11"/>
          <w:footerReference w:type="default" r:id="rId12"/>
          <w:type w:val="continuous"/>
          <w:pgSz w:w="12240" w:h="15840"/>
          <w:pgMar w:top="1440" w:right="1440" w:bottom="1440" w:left="1440" w:header="720" w:footer="720" w:gutter="0"/>
          <w:cols w:space="720"/>
        </w:sectPr>
      </w:pPr>
    </w:p>
    <w:p w14:paraId="5B2A72CD" w14:textId="77777777" w:rsidR="00782805" w:rsidRDefault="00000000">
      <w:pPr>
        <w:pStyle w:val="Section"/>
      </w:pPr>
      <w:r>
        <w:t>Sec. 30-4.9. Development bonus system.</w:t>
      </w:r>
    </w:p>
    <w:p w14:paraId="06830F6C" w14:textId="11C0CBBB" w:rsidR="00782805" w:rsidRDefault="00000000">
      <w:pPr>
        <w:pStyle w:val="List1"/>
      </w:pPr>
      <w:r>
        <w:t>A.</w:t>
      </w:r>
      <w:r>
        <w:tab/>
      </w:r>
      <w:r>
        <w:rPr>
          <w:i/>
        </w:rPr>
        <w:t>Available bonuses.</w:t>
      </w:r>
      <w:r>
        <w:t xml:space="preserve"> In accordance with this section, development projects may be eligible for: 1) additional </w:t>
      </w:r>
      <w:del w:id="13" w:author="Adrian Hayes-Santos" w:date="2025-09-09T01:51:00Z" w16du:dateUtc="2025-09-09T05:51:00Z">
        <w:r w:rsidDel="00CD1A2F">
          <w:delText xml:space="preserve">building stories and the corresponding </w:delText>
        </w:r>
      </w:del>
      <w:r>
        <w:t xml:space="preserve">increase in overall building height; and 2) increased residential density. The bonus may be approved based on the provision of certain development improvements that exceed the minimum standards of this article, as follows: </w:t>
      </w:r>
    </w:p>
    <w:p w14:paraId="6CF359C1" w14:textId="77777777" w:rsidR="00782805" w:rsidRDefault="00000000">
      <w:pPr>
        <w:pStyle w:val="List1"/>
      </w:pPr>
      <w:r>
        <w:t>B.</w:t>
      </w:r>
      <w:r>
        <w:tab/>
      </w:r>
      <w:r>
        <w:rPr>
          <w:i/>
        </w:rPr>
        <w:t>Additional building stories/height.</w:t>
      </w:r>
    </w:p>
    <w:p w14:paraId="4EC731CE" w14:textId="4DC07926" w:rsidR="00782805" w:rsidRDefault="00000000">
      <w:pPr>
        <w:pStyle w:val="List2"/>
      </w:pPr>
      <w:r>
        <w:t>1.</w:t>
      </w:r>
      <w:r>
        <w:tab/>
      </w:r>
      <w:r>
        <w:rPr>
          <w:i/>
        </w:rPr>
        <w:t>Usable open space.</w:t>
      </w:r>
      <w:r>
        <w:t xml:space="preserve"> If a development provides onsite usable open space that is accessible to the public (minimum size of 20' × 20'), additional building square footage above the </w:t>
      </w:r>
      <w:ins w:id="14" w:author="Adrian Hayes-Santos" w:date="2025-09-09T01:52:00Z" w16du:dateUtc="2025-09-09T05:52:00Z">
        <w:r w:rsidR="00CD1A2F">
          <w:t xml:space="preserve">height </w:t>
        </w:r>
      </w:ins>
      <w:del w:id="15" w:author="Adrian Hayes-Santos" w:date="2025-09-09T01:52:00Z" w16du:dateUtc="2025-09-09T05:52:00Z">
        <w:r w:rsidDel="00CD1A2F">
          <w:delText xml:space="preserve">number of stories </w:delText>
        </w:r>
      </w:del>
      <w:r>
        <w:t xml:space="preserve">allowed by right </w:t>
      </w:r>
      <w:del w:id="16" w:author="Adrian Hayes-Santos" w:date="2025-09-09T01:52:00Z" w16du:dateUtc="2025-09-09T05:52:00Z">
        <w:r w:rsidDel="00CD1A2F">
          <w:delText xml:space="preserve">(and up to the maximum allowed by bonus) </w:delText>
        </w:r>
      </w:del>
      <w:r>
        <w:t xml:space="preserve">may be provided according to the following formula: </w:t>
      </w:r>
    </w:p>
    <w:p w14:paraId="4ACE8CDE" w14:textId="40E8420E" w:rsidR="00782805" w:rsidRDefault="00000000">
      <w:pPr>
        <w:pStyle w:val="Block3"/>
      </w:pPr>
      <w:r>
        <w:t xml:space="preserve">Square feet of public open space X number of </w:t>
      </w:r>
      <w:del w:id="17" w:author="Adrian Hayes-Santos" w:date="2025-09-09T02:00:00Z" w16du:dateUtc="2025-09-09T06:00:00Z">
        <w:r w:rsidDel="00884433">
          <w:delText xml:space="preserve">stories </w:delText>
        </w:r>
      </w:del>
      <w:ins w:id="18" w:author="Adrian Hayes-Santos" w:date="2025-09-09T02:00:00Z" w16du:dateUtc="2025-09-09T06:00:00Z">
        <w:r w:rsidR="00884433">
          <w:t>feet</w:t>
        </w:r>
        <w:r w:rsidR="00884433">
          <w:t xml:space="preserve"> </w:t>
        </w:r>
      </w:ins>
      <w:r>
        <w:t>allowed by right</w:t>
      </w:r>
      <w:ins w:id="19" w:author="Adrian Hayes-Santos" w:date="2025-09-09T02:01:00Z" w16du:dateUtc="2025-09-09T06:01:00Z">
        <w:r w:rsidR="00884433">
          <w:t xml:space="preserve"> divided by ten</w:t>
        </w:r>
      </w:ins>
      <w:r>
        <w:t xml:space="preserve"> = additional square feet. If the total additional square footage meets or exceeds 20% of the total development site, </w:t>
      </w:r>
      <w:del w:id="20" w:author="Adrian Hayes-Santos" w:date="2025-09-09T01:53:00Z" w16du:dateUtc="2025-09-09T05:53:00Z">
        <w:r w:rsidDel="00CD1A2F">
          <w:delText xml:space="preserve">one </w:delText>
        </w:r>
      </w:del>
      <w:r>
        <w:t xml:space="preserve">additional </w:t>
      </w:r>
      <w:ins w:id="21" w:author="Adrian Hayes-Santos" w:date="2025-09-09T01:53:00Z" w16du:dateUtc="2025-09-09T05:53:00Z">
        <w:r w:rsidR="00CD1A2F">
          <w:t xml:space="preserve">15’ </w:t>
        </w:r>
      </w:ins>
      <w:del w:id="22" w:author="Adrian Hayes-Santos" w:date="2025-09-09T01:53:00Z" w16du:dateUtc="2025-09-09T05:53:00Z">
        <w:r w:rsidDel="00CD1A2F">
          <w:delText xml:space="preserve">story </w:delText>
        </w:r>
      </w:del>
      <w:r>
        <w:t xml:space="preserve">is available. If the total additional square footage meets or exceeds 30% of the total development site, </w:t>
      </w:r>
      <w:ins w:id="23" w:author="Adrian Hayes-Santos" w:date="2025-09-09T01:52:00Z" w16du:dateUtc="2025-09-09T05:52:00Z">
        <w:r w:rsidR="00CD1A2F">
          <w:t xml:space="preserve">30’ </w:t>
        </w:r>
      </w:ins>
      <w:del w:id="24" w:author="Adrian Hayes-Santos" w:date="2025-09-09T01:52:00Z" w16du:dateUtc="2025-09-09T05:52:00Z">
        <w:r w:rsidDel="00CD1A2F">
          <w:delText xml:space="preserve">two stories </w:delText>
        </w:r>
      </w:del>
      <w:r>
        <w:t xml:space="preserve">are available. </w:t>
      </w:r>
    </w:p>
    <w:p w14:paraId="70FF031A" w14:textId="77777777" w:rsidR="00782805" w:rsidRDefault="00000000">
      <w:pPr>
        <w:pStyle w:val="Block3"/>
      </w:pPr>
      <w:r>
        <w:t xml:space="preserve">Developments receiving a height bonus must provide at least one form of open space from the figures and associated standards below: </w:t>
      </w:r>
    </w:p>
    <w:tbl>
      <w:tblPr>
        <w:tblStyle w:val="Table1ee4dce34-b6b1-4050-92a2-2a67dbe6f82e"/>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670"/>
        <w:gridCol w:w="4670"/>
      </w:tblGrid>
      <w:tr w:rsidR="00782805" w14:paraId="0B2BAF3C" w14:textId="77777777">
        <w:tc>
          <w:tcPr>
            <w:tcW w:w="2500" w:type="pct"/>
            <w:shd w:val="clear" w:color="auto" w:fill="C0C0C0"/>
          </w:tcPr>
          <w:p w14:paraId="0226F037" w14:textId="77777777" w:rsidR="00782805" w:rsidRDefault="00000000">
            <w:r>
              <w:rPr>
                <w:b/>
              </w:rPr>
              <w:t>Green</w:t>
            </w:r>
          </w:p>
        </w:tc>
        <w:tc>
          <w:tcPr>
            <w:tcW w:w="2500" w:type="pct"/>
            <w:vMerge w:val="restart"/>
          </w:tcPr>
          <w:p w14:paraId="2ADA1385" w14:textId="77777777" w:rsidR="00782805" w:rsidRDefault="00000000">
            <w:r>
              <w:rPr>
                <w:noProof/>
              </w:rPr>
              <w:drawing>
                <wp:inline distT="0" distB="0" distL="0" distR="0" wp14:anchorId="77DDCA8B" wp14:editId="12B03042">
                  <wp:extent cx="2120900" cy="1676400"/>
                  <wp:effectExtent l="0" t="0" r="0" b="0"/>
                  <wp:docPr id="5" name="Drawing 0" descr="30-4-9green.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2120900" cy="1676400"/>
                          </a:xfrm>
                          <a:prstGeom prst="rect">
                            <a:avLst/>
                          </a:prstGeom>
                        </pic:spPr>
                      </pic:pic>
                    </a:graphicData>
                  </a:graphic>
                </wp:inline>
              </w:drawing>
            </w:r>
          </w:p>
        </w:tc>
      </w:tr>
      <w:tr w:rsidR="00782805" w14:paraId="2E943405" w14:textId="77777777">
        <w:tc>
          <w:tcPr>
            <w:tcW w:w="2500" w:type="pct"/>
          </w:tcPr>
          <w:p w14:paraId="25EE5A14" w14:textId="77777777" w:rsidR="00782805" w:rsidRDefault="00000000">
            <w:r>
              <w:lastRenderedPageBreak/>
              <w:t xml:space="preserve">A green is an open space for unstructured recreation. Greens consist of lawns, trees, paths, benches, and open shelters, all informally arranged. </w:t>
            </w:r>
          </w:p>
        </w:tc>
        <w:tc>
          <w:tcPr>
            <w:tcW w:w="2500" w:type="pct"/>
            <w:vMerge/>
          </w:tcPr>
          <w:p w14:paraId="44027D78" w14:textId="77777777" w:rsidR="00782805" w:rsidRDefault="00782805"/>
        </w:tc>
      </w:tr>
      <w:tr w:rsidR="00782805" w14:paraId="6EE69F95" w14:textId="77777777">
        <w:tc>
          <w:tcPr>
            <w:tcW w:w="2500" w:type="pct"/>
          </w:tcPr>
          <w:p w14:paraId="069C6BFA" w14:textId="77777777" w:rsidR="00782805" w:rsidRDefault="00000000">
            <w:r>
              <w:t xml:space="preserve">1. Greens may be spatially defined by landscaping rather than building frontages. </w:t>
            </w:r>
          </w:p>
        </w:tc>
        <w:tc>
          <w:tcPr>
            <w:tcW w:w="2500" w:type="pct"/>
            <w:vMerge/>
          </w:tcPr>
          <w:p w14:paraId="39E7063A" w14:textId="77777777" w:rsidR="00782805" w:rsidRDefault="00782805"/>
        </w:tc>
      </w:tr>
      <w:tr w:rsidR="00782805" w14:paraId="3A6DFB9E" w14:textId="77777777">
        <w:tc>
          <w:tcPr>
            <w:tcW w:w="2500" w:type="pct"/>
          </w:tcPr>
          <w:p w14:paraId="20850008" w14:textId="77777777" w:rsidR="00782805" w:rsidRDefault="00000000">
            <w:r>
              <w:t xml:space="preserve">2. Greens must front on at least two streets. </w:t>
            </w:r>
          </w:p>
        </w:tc>
        <w:tc>
          <w:tcPr>
            <w:tcW w:w="2500" w:type="pct"/>
            <w:vMerge/>
          </w:tcPr>
          <w:p w14:paraId="295EF1C6" w14:textId="77777777" w:rsidR="00782805" w:rsidRDefault="00782805"/>
        </w:tc>
      </w:tr>
      <w:tr w:rsidR="00782805" w14:paraId="323FB2CB" w14:textId="77777777">
        <w:tc>
          <w:tcPr>
            <w:tcW w:w="2500" w:type="pct"/>
            <w:shd w:val="clear" w:color="auto" w:fill="C0C0C0"/>
          </w:tcPr>
          <w:p w14:paraId="285AA934" w14:textId="77777777" w:rsidR="00782805" w:rsidRDefault="00000000">
            <w:r>
              <w:rPr>
                <w:b/>
              </w:rPr>
              <w:t>Square</w:t>
            </w:r>
          </w:p>
        </w:tc>
        <w:tc>
          <w:tcPr>
            <w:tcW w:w="2500" w:type="pct"/>
            <w:vMerge w:val="restart"/>
          </w:tcPr>
          <w:p w14:paraId="3919EA56" w14:textId="77777777" w:rsidR="00782805" w:rsidRDefault="00000000">
            <w:r>
              <w:rPr>
                <w:noProof/>
              </w:rPr>
              <w:drawing>
                <wp:inline distT="0" distB="0" distL="0" distR="0" wp14:anchorId="0C380DE6" wp14:editId="5D79F3B0">
                  <wp:extent cx="2095500" cy="2133600"/>
                  <wp:effectExtent l="0" t="0" r="0" b="0"/>
                  <wp:docPr id="6" name="Drawing 1" descr="30-4-9Square.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2095500" cy="2133600"/>
                          </a:xfrm>
                          <a:prstGeom prst="rect">
                            <a:avLst/>
                          </a:prstGeom>
                        </pic:spPr>
                      </pic:pic>
                    </a:graphicData>
                  </a:graphic>
                </wp:inline>
              </w:drawing>
            </w:r>
          </w:p>
        </w:tc>
      </w:tr>
      <w:tr w:rsidR="00782805" w14:paraId="7C1FFDC1" w14:textId="77777777">
        <w:tc>
          <w:tcPr>
            <w:tcW w:w="2500" w:type="pct"/>
          </w:tcPr>
          <w:p w14:paraId="50BAEF82" w14:textId="77777777" w:rsidR="00782805" w:rsidRDefault="00000000">
            <w:r>
              <w:t xml:space="preserve">A square is an open space for recreation and civic purposes consisting of paths, lawns, and trees, all formally arranged. A square is spatially defined by abutting streets and building frontages. </w:t>
            </w:r>
          </w:p>
        </w:tc>
        <w:tc>
          <w:tcPr>
            <w:tcW w:w="2500" w:type="pct"/>
            <w:vMerge/>
          </w:tcPr>
          <w:p w14:paraId="2E833F4B" w14:textId="77777777" w:rsidR="00782805" w:rsidRDefault="00782805"/>
        </w:tc>
      </w:tr>
      <w:tr w:rsidR="00782805" w14:paraId="07EE87EA" w14:textId="77777777">
        <w:tc>
          <w:tcPr>
            <w:tcW w:w="2500" w:type="pct"/>
          </w:tcPr>
          <w:p w14:paraId="7256C953" w14:textId="77777777" w:rsidR="00782805" w:rsidRDefault="00000000">
            <w:r>
              <w:t xml:space="preserve">1. Squares shall be located at the intersections of important thoroughfares. </w:t>
            </w:r>
          </w:p>
        </w:tc>
        <w:tc>
          <w:tcPr>
            <w:tcW w:w="2500" w:type="pct"/>
            <w:vMerge/>
          </w:tcPr>
          <w:p w14:paraId="06766ADE" w14:textId="77777777" w:rsidR="00782805" w:rsidRDefault="00782805"/>
        </w:tc>
      </w:tr>
      <w:tr w:rsidR="00782805" w14:paraId="54784389" w14:textId="77777777">
        <w:tc>
          <w:tcPr>
            <w:tcW w:w="2500" w:type="pct"/>
          </w:tcPr>
          <w:p w14:paraId="64E0D780" w14:textId="77777777" w:rsidR="00782805" w:rsidRDefault="00000000">
            <w:r>
              <w:t xml:space="preserve">2. Squares must front on at least 3 streets. </w:t>
            </w:r>
          </w:p>
        </w:tc>
        <w:tc>
          <w:tcPr>
            <w:tcW w:w="2500" w:type="pct"/>
            <w:vMerge/>
          </w:tcPr>
          <w:p w14:paraId="20B82BE2" w14:textId="77777777" w:rsidR="00782805" w:rsidRDefault="00782805"/>
        </w:tc>
      </w:tr>
      <w:tr w:rsidR="00782805" w14:paraId="1EE111CB" w14:textId="77777777">
        <w:tc>
          <w:tcPr>
            <w:tcW w:w="2500" w:type="pct"/>
          </w:tcPr>
          <w:p w14:paraId="24C3AEB8" w14:textId="77777777" w:rsidR="00782805" w:rsidRDefault="00000000">
            <w:r>
              <w:t xml:space="preserve">3. Façades facing the square should have at least 40% of their first floor's primary façade in transparent windows. </w:t>
            </w:r>
          </w:p>
        </w:tc>
        <w:tc>
          <w:tcPr>
            <w:tcW w:w="2500" w:type="pct"/>
            <w:vMerge/>
          </w:tcPr>
          <w:p w14:paraId="02129B6B" w14:textId="77777777" w:rsidR="00782805" w:rsidRDefault="00782805"/>
        </w:tc>
      </w:tr>
      <w:tr w:rsidR="00782805" w14:paraId="66E06612" w14:textId="77777777">
        <w:tc>
          <w:tcPr>
            <w:tcW w:w="2500" w:type="pct"/>
            <w:shd w:val="clear" w:color="auto" w:fill="C0C0C0"/>
          </w:tcPr>
          <w:p w14:paraId="3B745BE3" w14:textId="77777777" w:rsidR="00782805" w:rsidRDefault="00000000">
            <w:r>
              <w:rPr>
                <w:b/>
              </w:rPr>
              <w:t>Plaza</w:t>
            </w:r>
          </w:p>
        </w:tc>
        <w:tc>
          <w:tcPr>
            <w:tcW w:w="2500" w:type="pct"/>
            <w:vMerge w:val="restart"/>
          </w:tcPr>
          <w:p w14:paraId="79F5D459" w14:textId="77777777" w:rsidR="00782805" w:rsidRDefault="00000000">
            <w:r>
              <w:rPr>
                <w:noProof/>
              </w:rPr>
              <w:drawing>
                <wp:inline distT="0" distB="0" distL="0" distR="0" wp14:anchorId="2A869D8D" wp14:editId="0956F24F">
                  <wp:extent cx="2463800" cy="1981200"/>
                  <wp:effectExtent l="0" t="0" r="0" b="0"/>
                  <wp:docPr id="7" name="Drawing 2" descr="30-4-9Plaza.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2463800" cy="1981200"/>
                          </a:xfrm>
                          <a:prstGeom prst="rect">
                            <a:avLst/>
                          </a:prstGeom>
                        </pic:spPr>
                      </pic:pic>
                    </a:graphicData>
                  </a:graphic>
                </wp:inline>
              </w:drawing>
            </w:r>
          </w:p>
        </w:tc>
      </w:tr>
      <w:tr w:rsidR="00782805" w14:paraId="1463B165" w14:textId="77777777">
        <w:tc>
          <w:tcPr>
            <w:tcW w:w="2500" w:type="pct"/>
          </w:tcPr>
          <w:p w14:paraId="49B8B79A" w14:textId="77777777" w:rsidR="00782805" w:rsidRDefault="00000000">
            <w:r>
              <w:t xml:space="preserve">An open space for commercial and civic purposes consisting primarily of paved surfaces. A plaza is spatially defined by building frontages. </w:t>
            </w:r>
          </w:p>
        </w:tc>
        <w:tc>
          <w:tcPr>
            <w:tcW w:w="2500" w:type="pct"/>
            <w:vMerge/>
          </w:tcPr>
          <w:p w14:paraId="4E685A79" w14:textId="77777777" w:rsidR="00782805" w:rsidRDefault="00782805"/>
        </w:tc>
      </w:tr>
      <w:tr w:rsidR="00782805" w14:paraId="095A0A52" w14:textId="77777777">
        <w:tc>
          <w:tcPr>
            <w:tcW w:w="2500" w:type="pct"/>
          </w:tcPr>
          <w:p w14:paraId="4F993693" w14:textId="77777777" w:rsidR="00782805" w:rsidRDefault="00000000">
            <w:r>
              <w:t xml:space="preserve">1. Plazas should be located at the intersection of important streets. </w:t>
            </w:r>
          </w:p>
        </w:tc>
        <w:tc>
          <w:tcPr>
            <w:tcW w:w="2500" w:type="pct"/>
            <w:vMerge/>
          </w:tcPr>
          <w:p w14:paraId="43CF78CC" w14:textId="77777777" w:rsidR="00782805" w:rsidRDefault="00782805"/>
        </w:tc>
      </w:tr>
      <w:tr w:rsidR="00782805" w14:paraId="15A4C896" w14:textId="77777777">
        <w:tc>
          <w:tcPr>
            <w:tcW w:w="2500" w:type="pct"/>
          </w:tcPr>
          <w:p w14:paraId="5E4AA7F4" w14:textId="77777777" w:rsidR="00782805" w:rsidRDefault="00000000">
            <w:r>
              <w:t xml:space="preserve">2. Plazas must front on at least one street. </w:t>
            </w:r>
          </w:p>
        </w:tc>
        <w:tc>
          <w:tcPr>
            <w:tcW w:w="2500" w:type="pct"/>
            <w:vMerge/>
          </w:tcPr>
          <w:p w14:paraId="711A365F" w14:textId="77777777" w:rsidR="00782805" w:rsidRDefault="00782805"/>
        </w:tc>
      </w:tr>
      <w:tr w:rsidR="00782805" w14:paraId="363C11FF" w14:textId="77777777">
        <w:tc>
          <w:tcPr>
            <w:tcW w:w="2500" w:type="pct"/>
          </w:tcPr>
          <w:p w14:paraId="6DAFCF86" w14:textId="77777777" w:rsidR="00782805" w:rsidRDefault="00000000">
            <w:r>
              <w:t xml:space="preserve">3. Façades facing the plaza should have at least 40% of their first floor's primary façade in transparent windows. </w:t>
            </w:r>
          </w:p>
        </w:tc>
        <w:tc>
          <w:tcPr>
            <w:tcW w:w="2500" w:type="pct"/>
            <w:vMerge/>
          </w:tcPr>
          <w:p w14:paraId="0CB927E4" w14:textId="77777777" w:rsidR="00782805" w:rsidRDefault="00782805"/>
        </w:tc>
      </w:tr>
      <w:tr w:rsidR="00782805" w14:paraId="1E7CB1A6" w14:textId="77777777">
        <w:tc>
          <w:tcPr>
            <w:tcW w:w="2500" w:type="pct"/>
            <w:shd w:val="clear" w:color="auto" w:fill="C0C0C0"/>
          </w:tcPr>
          <w:p w14:paraId="398B3802" w14:textId="77777777" w:rsidR="00782805" w:rsidRDefault="00000000">
            <w:r>
              <w:rPr>
                <w:b/>
              </w:rPr>
              <w:t>Playground</w:t>
            </w:r>
          </w:p>
        </w:tc>
        <w:tc>
          <w:tcPr>
            <w:tcW w:w="2500" w:type="pct"/>
            <w:vMerge w:val="restart"/>
          </w:tcPr>
          <w:p w14:paraId="2CF06C6F" w14:textId="77777777" w:rsidR="00782805" w:rsidRDefault="00000000">
            <w:r>
              <w:rPr>
                <w:noProof/>
              </w:rPr>
              <w:drawing>
                <wp:inline distT="0" distB="0" distL="0" distR="0" wp14:anchorId="679A6A22" wp14:editId="29E6855A">
                  <wp:extent cx="1524000" cy="1219200"/>
                  <wp:effectExtent l="0" t="0" r="0" b="0"/>
                  <wp:docPr id="8" name="Drawing 3" descr="30-4-9Playground.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1524000" cy="1219200"/>
                          </a:xfrm>
                          <a:prstGeom prst="rect">
                            <a:avLst/>
                          </a:prstGeom>
                        </pic:spPr>
                      </pic:pic>
                    </a:graphicData>
                  </a:graphic>
                </wp:inline>
              </w:drawing>
            </w:r>
          </w:p>
        </w:tc>
      </w:tr>
      <w:tr w:rsidR="00782805" w14:paraId="022C62C9" w14:textId="77777777">
        <w:tc>
          <w:tcPr>
            <w:tcW w:w="2500" w:type="pct"/>
          </w:tcPr>
          <w:p w14:paraId="30B7E02F" w14:textId="77777777" w:rsidR="00782805" w:rsidRDefault="00000000">
            <w:r>
              <w:t xml:space="preserve">A fenced open space designed and equipped for the recreation of children. </w:t>
            </w:r>
          </w:p>
        </w:tc>
        <w:tc>
          <w:tcPr>
            <w:tcW w:w="2500" w:type="pct"/>
            <w:vMerge/>
          </w:tcPr>
          <w:p w14:paraId="19202B5E" w14:textId="77777777" w:rsidR="00782805" w:rsidRDefault="00782805"/>
        </w:tc>
      </w:tr>
      <w:tr w:rsidR="00782805" w14:paraId="4D67EDE9" w14:textId="77777777">
        <w:tc>
          <w:tcPr>
            <w:tcW w:w="2500" w:type="pct"/>
          </w:tcPr>
          <w:p w14:paraId="7BD65DE2" w14:textId="77777777" w:rsidR="00782805" w:rsidRDefault="00000000">
            <w:r>
              <w:t xml:space="preserve">1. Playgrounds shall be located within ¼ mil surrounding neighborhoods. </w:t>
            </w:r>
          </w:p>
        </w:tc>
        <w:tc>
          <w:tcPr>
            <w:tcW w:w="2500" w:type="pct"/>
            <w:vMerge/>
          </w:tcPr>
          <w:p w14:paraId="69DC8F07" w14:textId="77777777" w:rsidR="00782805" w:rsidRDefault="00782805"/>
        </w:tc>
      </w:tr>
      <w:tr w:rsidR="00782805" w14:paraId="467CE212" w14:textId="77777777">
        <w:tc>
          <w:tcPr>
            <w:tcW w:w="2500" w:type="pct"/>
          </w:tcPr>
          <w:p w14:paraId="271EF2D7" w14:textId="77777777" w:rsidR="00782805" w:rsidRDefault="00000000">
            <w:r>
              <w:t xml:space="preserve">2. Playgrounds may be freestanding or located within parks and greens. </w:t>
            </w:r>
          </w:p>
        </w:tc>
        <w:tc>
          <w:tcPr>
            <w:tcW w:w="2500" w:type="pct"/>
            <w:vMerge/>
          </w:tcPr>
          <w:p w14:paraId="6956EADC" w14:textId="77777777" w:rsidR="00782805" w:rsidRDefault="00782805"/>
        </w:tc>
      </w:tr>
      <w:tr w:rsidR="00782805" w14:paraId="5FB68D23" w14:textId="77777777">
        <w:tc>
          <w:tcPr>
            <w:tcW w:w="2500" w:type="pct"/>
            <w:shd w:val="clear" w:color="auto" w:fill="C0C0C0"/>
          </w:tcPr>
          <w:p w14:paraId="3FF9B8D0" w14:textId="77777777" w:rsidR="00782805" w:rsidRDefault="00000000">
            <w:r>
              <w:rPr>
                <w:b/>
              </w:rPr>
              <w:t>Pocket Plaza</w:t>
            </w:r>
          </w:p>
        </w:tc>
        <w:tc>
          <w:tcPr>
            <w:tcW w:w="2500" w:type="pct"/>
            <w:vMerge w:val="restart"/>
          </w:tcPr>
          <w:p w14:paraId="6A33C918" w14:textId="77777777" w:rsidR="00782805" w:rsidRDefault="00000000">
            <w:r>
              <w:rPr>
                <w:noProof/>
              </w:rPr>
              <w:drawing>
                <wp:inline distT="0" distB="0" distL="0" distR="0" wp14:anchorId="0B968FDC" wp14:editId="2A19AD4F">
                  <wp:extent cx="2463800" cy="2133600"/>
                  <wp:effectExtent l="0" t="0" r="0" b="0"/>
                  <wp:docPr id="9" name="Drawing 4" descr="30-4-9PocketPlaza.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srcRect/>
                          <a:stretch>
                            <a:fillRect/>
                          </a:stretch>
                        </pic:blipFill>
                        <pic:spPr bwMode="auto">
                          <a:xfrm>
                            <a:off x="0" y="0"/>
                            <a:ext cx="2463800" cy="2133600"/>
                          </a:xfrm>
                          <a:prstGeom prst="rect">
                            <a:avLst/>
                          </a:prstGeom>
                        </pic:spPr>
                      </pic:pic>
                    </a:graphicData>
                  </a:graphic>
                </wp:inline>
              </w:drawing>
            </w:r>
          </w:p>
        </w:tc>
      </w:tr>
      <w:tr w:rsidR="00782805" w14:paraId="36DC83DE" w14:textId="77777777">
        <w:tc>
          <w:tcPr>
            <w:tcW w:w="2500" w:type="pct"/>
          </w:tcPr>
          <w:p w14:paraId="7951555F" w14:textId="77777777" w:rsidR="00782805" w:rsidRDefault="00000000">
            <w:r>
              <w:t xml:space="preserve">A formal open space available for civic purposes and commercial activities. Pocket Plazas are typically hardscaped and include landscaping in lawns or permanent planters. </w:t>
            </w:r>
          </w:p>
        </w:tc>
        <w:tc>
          <w:tcPr>
            <w:tcW w:w="2500" w:type="pct"/>
            <w:vMerge/>
          </w:tcPr>
          <w:p w14:paraId="40451FAA" w14:textId="77777777" w:rsidR="00782805" w:rsidRDefault="00782805"/>
        </w:tc>
      </w:tr>
      <w:tr w:rsidR="00782805" w14:paraId="51B861E5" w14:textId="77777777">
        <w:tc>
          <w:tcPr>
            <w:tcW w:w="2500" w:type="pct"/>
          </w:tcPr>
          <w:p w14:paraId="44BB9D96" w14:textId="77777777" w:rsidR="00782805" w:rsidRDefault="00000000">
            <w:r>
              <w:lastRenderedPageBreak/>
              <w:t xml:space="preserve">1. Pocket plazas should be located on side streets. </w:t>
            </w:r>
          </w:p>
        </w:tc>
        <w:tc>
          <w:tcPr>
            <w:tcW w:w="2500" w:type="pct"/>
            <w:vMerge/>
          </w:tcPr>
          <w:p w14:paraId="6C995756" w14:textId="77777777" w:rsidR="00782805" w:rsidRDefault="00782805"/>
        </w:tc>
      </w:tr>
      <w:tr w:rsidR="00782805" w14:paraId="15803A5B" w14:textId="77777777">
        <w:tc>
          <w:tcPr>
            <w:tcW w:w="2500" w:type="pct"/>
          </w:tcPr>
          <w:p w14:paraId="29907E83" w14:textId="77777777" w:rsidR="00782805" w:rsidRDefault="00000000">
            <w:r>
              <w:t xml:space="preserve">2. Pocket Plazas must front on at least one street. </w:t>
            </w:r>
          </w:p>
        </w:tc>
        <w:tc>
          <w:tcPr>
            <w:tcW w:w="2500" w:type="pct"/>
            <w:vMerge/>
          </w:tcPr>
          <w:p w14:paraId="275225C8" w14:textId="77777777" w:rsidR="00782805" w:rsidRDefault="00782805"/>
        </w:tc>
      </w:tr>
      <w:tr w:rsidR="00782805" w14:paraId="79B88C6A" w14:textId="77777777">
        <w:tc>
          <w:tcPr>
            <w:tcW w:w="2500" w:type="pct"/>
          </w:tcPr>
          <w:p w14:paraId="734B8095" w14:textId="77777777" w:rsidR="00782805" w:rsidRDefault="00000000">
            <w:r>
              <w:t xml:space="preserve">3. Pocket Plazas may be used to provide seating for outdoor cafes or similar publicly accessible gathering space. </w:t>
            </w:r>
          </w:p>
        </w:tc>
        <w:tc>
          <w:tcPr>
            <w:tcW w:w="2500" w:type="pct"/>
            <w:vMerge/>
          </w:tcPr>
          <w:p w14:paraId="3290D7EE" w14:textId="77777777" w:rsidR="00782805" w:rsidRDefault="00782805"/>
        </w:tc>
      </w:tr>
      <w:tr w:rsidR="00782805" w14:paraId="1C9A4CC0" w14:textId="77777777">
        <w:tc>
          <w:tcPr>
            <w:tcW w:w="2500" w:type="pct"/>
            <w:shd w:val="clear" w:color="auto" w:fill="C0C0C0"/>
          </w:tcPr>
          <w:p w14:paraId="37EFBF3C" w14:textId="77777777" w:rsidR="00782805" w:rsidRDefault="00000000">
            <w:r>
              <w:rPr>
                <w:b/>
              </w:rPr>
              <w:t>Promenade</w:t>
            </w:r>
          </w:p>
        </w:tc>
        <w:tc>
          <w:tcPr>
            <w:tcW w:w="2500" w:type="pct"/>
            <w:vMerge w:val="restart"/>
          </w:tcPr>
          <w:p w14:paraId="03883D0A" w14:textId="77777777" w:rsidR="00782805" w:rsidRDefault="00000000">
            <w:r>
              <w:rPr>
                <w:noProof/>
              </w:rPr>
              <w:drawing>
                <wp:inline distT="0" distB="0" distL="0" distR="0" wp14:anchorId="361A86FE" wp14:editId="32B98934">
                  <wp:extent cx="1968500" cy="1524000"/>
                  <wp:effectExtent l="0" t="0" r="0" b="0"/>
                  <wp:docPr id="10" name="Drawing 5" descr="30-4-9-Promenade.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1968500" cy="1524000"/>
                          </a:xfrm>
                          <a:prstGeom prst="rect">
                            <a:avLst/>
                          </a:prstGeom>
                        </pic:spPr>
                      </pic:pic>
                    </a:graphicData>
                  </a:graphic>
                </wp:inline>
              </w:drawing>
            </w:r>
          </w:p>
        </w:tc>
      </w:tr>
      <w:tr w:rsidR="00782805" w14:paraId="141EAE95" w14:textId="77777777">
        <w:tc>
          <w:tcPr>
            <w:tcW w:w="2500" w:type="pct"/>
          </w:tcPr>
          <w:p w14:paraId="667F2A5A" w14:textId="77777777" w:rsidR="00782805" w:rsidRDefault="00000000">
            <w:r>
              <w:t xml:space="preserve"> A linear pedestrian open space between streets that extends through successive blocks. The space largely hardscaped and lined with trees at the edges. </w:t>
            </w:r>
          </w:p>
        </w:tc>
        <w:tc>
          <w:tcPr>
            <w:tcW w:w="2500" w:type="pct"/>
            <w:vMerge/>
          </w:tcPr>
          <w:p w14:paraId="3788BF46" w14:textId="77777777" w:rsidR="00782805" w:rsidRDefault="00782805"/>
        </w:tc>
      </w:tr>
      <w:tr w:rsidR="00782805" w14:paraId="7CAAE763" w14:textId="77777777">
        <w:tc>
          <w:tcPr>
            <w:tcW w:w="2500" w:type="pct"/>
          </w:tcPr>
          <w:p w14:paraId="781C4EE9" w14:textId="77777777" w:rsidR="00782805" w:rsidRDefault="00000000">
            <w:r>
              <w:t xml:space="preserve">1. Promenades must be a minimum of 16' wide. </w:t>
            </w:r>
          </w:p>
        </w:tc>
        <w:tc>
          <w:tcPr>
            <w:tcW w:w="2500" w:type="pct"/>
            <w:vMerge/>
          </w:tcPr>
          <w:p w14:paraId="710C371A" w14:textId="77777777" w:rsidR="00782805" w:rsidRDefault="00782805"/>
        </w:tc>
      </w:tr>
      <w:tr w:rsidR="00782805" w14:paraId="4CF4CADA" w14:textId="77777777">
        <w:tc>
          <w:tcPr>
            <w:tcW w:w="2500" w:type="pct"/>
          </w:tcPr>
          <w:p w14:paraId="437BC66A" w14:textId="77777777" w:rsidR="00782805" w:rsidRDefault="00000000">
            <w:r>
              <w:t xml:space="preserve">2. Promenades may include outdoor seating or other similar public amenities. </w:t>
            </w:r>
          </w:p>
        </w:tc>
        <w:tc>
          <w:tcPr>
            <w:tcW w:w="2500" w:type="pct"/>
            <w:vMerge/>
          </w:tcPr>
          <w:p w14:paraId="7E779750" w14:textId="77777777" w:rsidR="00782805" w:rsidRDefault="00782805"/>
        </w:tc>
      </w:tr>
    </w:tbl>
    <w:p w14:paraId="6616F186" w14:textId="77777777" w:rsidR="00782805" w:rsidRDefault="00782805"/>
    <w:p w14:paraId="193C83D7" w14:textId="2E7496B3" w:rsidR="00782805" w:rsidRDefault="00000000">
      <w:pPr>
        <w:pStyle w:val="List2"/>
      </w:pPr>
      <w:r>
        <w:t>2.</w:t>
      </w:r>
      <w:r>
        <w:tab/>
      </w:r>
      <w:r>
        <w:rPr>
          <w:i/>
        </w:rPr>
        <w:t>Tree preservation.</w:t>
      </w:r>
      <w:r>
        <w:t xml:space="preserve"> If a development dedicates an area onsite to preserve one or more heritage trees, the additional building square footage above the number of </w:t>
      </w:r>
      <w:del w:id="25" w:author="Adrian Hayes-Santos" w:date="2025-09-09T02:03:00Z" w16du:dateUtc="2025-09-09T06:03:00Z">
        <w:r w:rsidDel="00884433">
          <w:delText xml:space="preserve">stories </w:delText>
        </w:r>
      </w:del>
      <w:ins w:id="26" w:author="Adrian Hayes-Santos" w:date="2025-09-09T02:03:00Z" w16du:dateUtc="2025-09-09T06:03:00Z">
        <w:r w:rsidR="00884433">
          <w:t>feet</w:t>
        </w:r>
        <w:r w:rsidR="00884433">
          <w:t xml:space="preserve"> </w:t>
        </w:r>
      </w:ins>
      <w:r>
        <w:t xml:space="preserve">allowed by right </w:t>
      </w:r>
      <w:del w:id="27" w:author="Adrian Hayes-Santos" w:date="2025-09-09T01:57:00Z" w16du:dateUtc="2025-09-09T05:57:00Z">
        <w:r w:rsidDel="00884433">
          <w:delText xml:space="preserve">(and up to the maximum allowed by bonus) </w:delText>
        </w:r>
      </w:del>
      <w:r>
        <w:t xml:space="preserve">may be provided according to the following formula: </w:t>
      </w:r>
    </w:p>
    <w:p w14:paraId="419A80A2" w14:textId="7AE0244E" w:rsidR="00782805" w:rsidRDefault="00000000">
      <w:pPr>
        <w:pStyle w:val="Block3"/>
      </w:pPr>
      <w:r>
        <w:t xml:space="preserve">Square feet of tree preservation area X number of </w:t>
      </w:r>
      <w:del w:id="28" w:author="Adrian Hayes-Santos" w:date="2025-09-09T02:02:00Z" w16du:dateUtc="2025-09-09T06:02:00Z">
        <w:r w:rsidDel="00884433">
          <w:delText xml:space="preserve">stories </w:delText>
        </w:r>
      </w:del>
      <w:ins w:id="29" w:author="Adrian Hayes-Santos" w:date="2025-09-09T02:02:00Z" w16du:dateUtc="2025-09-09T06:02:00Z">
        <w:r w:rsidR="00884433">
          <w:t>feet</w:t>
        </w:r>
        <w:r w:rsidR="00884433">
          <w:t xml:space="preserve"> </w:t>
        </w:r>
      </w:ins>
      <w:r>
        <w:t>allowed by right</w:t>
      </w:r>
      <w:ins w:id="30" w:author="Adrian Hayes-Santos" w:date="2025-09-09T02:02:00Z" w16du:dateUtc="2025-09-09T06:02:00Z">
        <w:r w:rsidR="00884433">
          <w:t xml:space="preserve"> divided by 10</w:t>
        </w:r>
      </w:ins>
      <w:r>
        <w:t xml:space="preserve"> = additional square feet. If the total additional square feet meets or exceeds 20 percent of the total development site, </w:t>
      </w:r>
      <w:del w:id="31" w:author="Adrian Hayes-Santos" w:date="2025-09-09T02:02:00Z" w16du:dateUtc="2025-09-09T06:02:00Z">
        <w:r w:rsidDel="00884433">
          <w:delText xml:space="preserve">one </w:delText>
        </w:r>
      </w:del>
      <w:ins w:id="32" w:author="Adrian Hayes-Santos" w:date="2025-09-09T02:02:00Z" w16du:dateUtc="2025-09-09T06:02:00Z">
        <w:r w:rsidR="00884433">
          <w:t>15’</w:t>
        </w:r>
        <w:r w:rsidR="00884433">
          <w:t xml:space="preserve"> </w:t>
        </w:r>
      </w:ins>
      <w:r>
        <w:t xml:space="preserve">additional story is available. If the total additional square footage meets or exceeds 30 percent of the total development site, </w:t>
      </w:r>
      <w:del w:id="33" w:author="Adrian Hayes-Santos" w:date="2025-09-09T02:02:00Z" w16du:dateUtc="2025-09-09T06:02:00Z">
        <w:r w:rsidDel="00884433">
          <w:delText>two stories</w:delText>
        </w:r>
      </w:del>
      <w:ins w:id="34" w:author="Adrian Hayes-Santos" w:date="2025-09-09T02:02:00Z" w16du:dateUtc="2025-09-09T06:02:00Z">
        <w:r w:rsidR="00884433">
          <w:t>30’</w:t>
        </w:r>
      </w:ins>
      <w:r>
        <w:t xml:space="preserve"> are available. </w:t>
      </w:r>
    </w:p>
    <w:p w14:paraId="5F45A329" w14:textId="47B82907" w:rsidR="00782805" w:rsidRDefault="00000000">
      <w:pPr>
        <w:pStyle w:val="List2"/>
      </w:pPr>
      <w:r>
        <w:t>3.</w:t>
      </w:r>
      <w:r>
        <w:tab/>
      </w:r>
      <w:r>
        <w:rPr>
          <w:i/>
        </w:rPr>
        <w:t>Structured parking.</w:t>
      </w:r>
      <w:r>
        <w:t xml:space="preserve"> Within </w:t>
      </w:r>
      <w:del w:id="35" w:author="Adrian Hayes-Santos" w:date="2025-09-09T01:53:00Z" w16du:dateUtc="2025-09-09T05:53:00Z">
        <w:r w:rsidDel="00CD1A2F">
          <w:delText>U9 and DT</w:delText>
        </w:r>
      </w:del>
      <w:ins w:id="36" w:author="Adrian Hayes-Santos" w:date="2025-09-09T01:53:00Z" w16du:dateUtc="2025-09-09T05:53:00Z">
        <w:r w:rsidR="00CD1A2F">
          <w:t>transect zones</w:t>
        </w:r>
      </w:ins>
      <w:r>
        <w:t xml:space="preserve">, up to two levels of parking that are constructed within a habitable building are not counted as stories for the purposes of calculating the total number of stories, provided the footprint of the parking structure falls within 75 percent to 100 percent of the footprint of the habitable floors directly above the parking levels. </w:t>
      </w:r>
    </w:p>
    <w:p w14:paraId="0D9153B5" w14:textId="66B0EA51" w:rsidR="00782805" w:rsidRDefault="00000000">
      <w:pPr>
        <w:pStyle w:val="List2"/>
      </w:pPr>
      <w:r>
        <w:t>4.</w:t>
      </w:r>
      <w:r>
        <w:tab/>
      </w:r>
      <w:r>
        <w:rPr>
          <w:i/>
        </w:rPr>
        <w:t>Transit support facilities.</w:t>
      </w:r>
      <w:r>
        <w:t xml:space="preserve"> If a development provides onsite facilities, beyond what otherwise is required, to serve existing or planned public transit, including but not limited to bus bays, </w:t>
      </w:r>
      <w:del w:id="37" w:author="Adrian Hayes-Santos" w:date="2025-09-09T01:59:00Z" w16du:dateUtc="2025-09-09T05:59:00Z">
        <w:r w:rsidDel="00884433">
          <w:delText xml:space="preserve">super </w:delText>
        </w:r>
      </w:del>
      <w:ins w:id="38" w:author="Adrian Hayes-Santos" w:date="2025-09-09T01:59:00Z" w16du:dateUtc="2025-09-09T05:59:00Z">
        <w:r w:rsidR="00884433">
          <w:t>covered</w:t>
        </w:r>
        <w:r w:rsidR="00884433">
          <w:t xml:space="preserve"> </w:t>
        </w:r>
      </w:ins>
      <w:r>
        <w:t xml:space="preserve">bus stops, bus stations, bus lanes, and park and ride lots, </w:t>
      </w:r>
      <w:del w:id="39" w:author="Adrian Hayes-Santos" w:date="2025-09-09T01:54:00Z" w16du:dateUtc="2025-09-09T05:54:00Z">
        <w:r w:rsidDel="00CD1A2F">
          <w:delText xml:space="preserve">one bonus story </w:delText>
        </w:r>
      </w:del>
      <w:ins w:id="40" w:author="Adrian Hayes-Santos" w:date="2025-09-09T01:54:00Z" w16du:dateUtc="2025-09-09T05:54:00Z">
        <w:r w:rsidR="00CD1A2F">
          <w:t xml:space="preserve">15’ </w:t>
        </w:r>
      </w:ins>
      <w:r>
        <w:t xml:space="preserve">is available. </w:t>
      </w:r>
    </w:p>
    <w:p w14:paraId="1B450B3E" w14:textId="0914A386" w:rsidR="00782805" w:rsidRDefault="00000000">
      <w:pPr>
        <w:pStyle w:val="List2"/>
      </w:pPr>
      <w:r>
        <w:t>5.</w:t>
      </w:r>
      <w:r>
        <w:tab/>
      </w:r>
      <w:r>
        <w:rPr>
          <w:i/>
        </w:rPr>
        <w:t>Undergrounding/relocating utility lines.</w:t>
      </w:r>
      <w:r>
        <w:t xml:space="preserve"> If a development undergrounds overhead utility lines beyond what otherwise is required, or relocates existing underground lines in order to facilitate the appropriate placement of street trees or buildings along streets, up to </w:t>
      </w:r>
      <w:del w:id="41" w:author="Adrian Hayes-Santos" w:date="2025-09-09T01:54:00Z" w16du:dateUtc="2025-09-09T05:54:00Z">
        <w:r w:rsidDel="00CD1A2F">
          <w:delText>two stories</w:delText>
        </w:r>
      </w:del>
      <w:ins w:id="42" w:author="Adrian Hayes-Santos" w:date="2025-09-09T01:54:00Z" w16du:dateUtc="2025-09-09T05:54:00Z">
        <w:r w:rsidR="00CD1A2F">
          <w:t>30’</w:t>
        </w:r>
      </w:ins>
      <w:r>
        <w:t xml:space="preserve"> </w:t>
      </w:r>
      <w:del w:id="43" w:author="Adrian Hayes-Santos" w:date="2025-09-09T01:54:00Z" w16du:dateUtc="2025-09-09T05:54:00Z">
        <w:r w:rsidDel="00CD1A2F">
          <w:delText xml:space="preserve">are </w:delText>
        </w:r>
      </w:del>
      <w:ins w:id="44" w:author="Adrian Hayes-Santos" w:date="2025-09-09T01:54:00Z" w16du:dateUtc="2025-09-09T05:54:00Z">
        <w:r w:rsidR="00CD1A2F">
          <w:t>is</w:t>
        </w:r>
        <w:r w:rsidR="00CD1A2F">
          <w:t xml:space="preserve"> </w:t>
        </w:r>
      </w:ins>
      <w:r>
        <w:t xml:space="preserve">available for every street segment completed (from intersection to intersection); </w:t>
      </w:r>
      <w:del w:id="45" w:author="Adrian Hayes-Santos" w:date="2025-09-09T01:54:00Z" w16du:dateUtc="2025-09-09T05:54:00Z">
        <w:r w:rsidDel="00CD1A2F">
          <w:delText>one story</w:delText>
        </w:r>
      </w:del>
      <w:ins w:id="46" w:author="Adrian Hayes-Santos" w:date="2025-09-09T01:54:00Z" w16du:dateUtc="2025-09-09T05:54:00Z">
        <w:r w:rsidR="00CD1A2F">
          <w:t>15’</w:t>
        </w:r>
      </w:ins>
      <w:r>
        <w:t xml:space="preserve"> is available for the undergrounding/relocation of utilities along the street frontage of the development. </w:t>
      </w:r>
    </w:p>
    <w:p w14:paraId="42CCFDC0" w14:textId="77777777" w:rsidR="00782805" w:rsidRDefault="00000000">
      <w:pPr>
        <w:pStyle w:val="List1"/>
      </w:pPr>
      <w:r>
        <w:t>C.</w:t>
      </w:r>
      <w:r>
        <w:tab/>
      </w:r>
      <w:r>
        <w:rPr>
          <w:i/>
        </w:rPr>
        <w:t>Increased residential density.</w:t>
      </w:r>
    </w:p>
    <w:p w14:paraId="4D2F7961" w14:textId="77777777" w:rsidR="00782805" w:rsidRDefault="00000000">
      <w:pPr>
        <w:pStyle w:val="List2"/>
      </w:pPr>
      <w:r>
        <w:t>1.</w:t>
      </w:r>
      <w:r>
        <w:tab/>
      </w:r>
      <w:r>
        <w:rPr>
          <w:i/>
        </w:rPr>
        <w:t>Tree preservation.</w:t>
      </w:r>
    </w:p>
    <w:tbl>
      <w:tblPr>
        <w:tblStyle w:val="Table18bc8578f-0f34-4b12-b370-7c4afae6f82a"/>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68"/>
        <w:gridCol w:w="1868"/>
        <w:gridCol w:w="1868"/>
        <w:gridCol w:w="1868"/>
        <w:gridCol w:w="1868"/>
      </w:tblGrid>
      <w:tr w:rsidR="00782805" w14:paraId="71D14EA0" w14:textId="77777777">
        <w:tc>
          <w:tcPr>
            <w:tcW w:w="5000" w:type="pct"/>
            <w:gridSpan w:val="5"/>
            <w:shd w:val="clear" w:color="auto" w:fill="C0C0C0"/>
          </w:tcPr>
          <w:p w14:paraId="315054C8" w14:textId="77777777" w:rsidR="00782805" w:rsidRDefault="00000000">
            <w:r>
              <w:rPr>
                <w:b/>
              </w:rPr>
              <w:lastRenderedPageBreak/>
              <w:t>RESIDENTIAL DENSITY BONUS</w:t>
            </w:r>
          </w:p>
        </w:tc>
      </w:tr>
      <w:tr w:rsidR="00782805" w14:paraId="08ECCB26" w14:textId="77777777">
        <w:tc>
          <w:tcPr>
            <w:tcW w:w="5000" w:type="pct"/>
            <w:gridSpan w:val="5"/>
          </w:tcPr>
          <w:p w14:paraId="05C24564" w14:textId="77777777" w:rsidR="00782805" w:rsidRDefault="00000000">
            <w:r>
              <w:t xml:space="preserve">High Quality Heritage Tree Preservation (fair or better condition): </w:t>
            </w:r>
          </w:p>
        </w:tc>
      </w:tr>
      <w:tr w:rsidR="00782805" w14:paraId="05618BC6" w14:textId="77777777">
        <w:tc>
          <w:tcPr>
            <w:tcW w:w="1000" w:type="pct"/>
          </w:tcPr>
          <w:p w14:paraId="7F3A1EA8" w14:textId="77777777" w:rsidR="00782805" w:rsidRDefault="00000000">
            <w:r>
              <w:t xml:space="preserve">Tree DBH </w:t>
            </w:r>
          </w:p>
        </w:tc>
        <w:tc>
          <w:tcPr>
            <w:tcW w:w="1000" w:type="pct"/>
          </w:tcPr>
          <w:p w14:paraId="73B71986" w14:textId="77777777" w:rsidR="00782805" w:rsidRDefault="00000000">
            <w:r>
              <w:t xml:space="preserve">20"—30" </w:t>
            </w:r>
          </w:p>
        </w:tc>
        <w:tc>
          <w:tcPr>
            <w:tcW w:w="1000" w:type="pct"/>
          </w:tcPr>
          <w:p w14:paraId="525B2BAE" w14:textId="77777777" w:rsidR="00782805" w:rsidRDefault="00000000">
            <w:r>
              <w:t xml:space="preserve">31"—50" </w:t>
            </w:r>
          </w:p>
        </w:tc>
        <w:tc>
          <w:tcPr>
            <w:tcW w:w="1000" w:type="pct"/>
          </w:tcPr>
          <w:p w14:paraId="0EA791BF" w14:textId="77777777" w:rsidR="00782805" w:rsidRDefault="00000000">
            <w:r>
              <w:t xml:space="preserve">51"—70" </w:t>
            </w:r>
          </w:p>
        </w:tc>
        <w:tc>
          <w:tcPr>
            <w:tcW w:w="1000" w:type="pct"/>
          </w:tcPr>
          <w:p w14:paraId="4D8F1691" w14:textId="77777777" w:rsidR="00782805" w:rsidRDefault="00000000">
            <w:r>
              <w:t xml:space="preserve">71"+ </w:t>
            </w:r>
          </w:p>
        </w:tc>
      </w:tr>
      <w:tr w:rsidR="00782805" w14:paraId="02B0E91C" w14:textId="77777777">
        <w:tc>
          <w:tcPr>
            <w:tcW w:w="1000" w:type="pct"/>
          </w:tcPr>
          <w:p w14:paraId="0A3BEF45" w14:textId="26D36B66" w:rsidR="00782805" w:rsidRDefault="00000000">
            <w:r>
              <w:t xml:space="preserve">Bonus DU/Acre </w:t>
            </w:r>
            <w:ins w:id="47" w:author="Adrian Hayes-Santos" w:date="2025-09-09T01:55:00Z" w16du:dateUtc="2025-09-09T05:55:00Z">
              <w:r w:rsidR="00884433">
                <w:t>(whichever is greater)</w:t>
              </w:r>
            </w:ins>
          </w:p>
        </w:tc>
        <w:tc>
          <w:tcPr>
            <w:tcW w:w="1000" w:type="pct"/>
          </w:tcPr>
          <w:p w14:paraId="3856D05B" w14:textId="1853C1F3" w:rsidR="00782805" w:rsidRDefault="00000000">
            <w:del w:id="48" w:author="Adrian Hayes-Santos" w:date="2025-09-09T01:54:00Z" w16du:dateUtc="2025-09-09T05:54:00Z">
              <w:r w:rsidDel="00CD1A2F">
                <w:delText>0.5</w:delText>
              </w:r>
            </w:del>
            <w:ins w:id="49" w:author="Adrian Hayes-Santos" w:date="2025-09-09T01:54:00Z" w16du:dateUtc="2025-09-09T05:54:00Z">
              <w:r w:rsidR="00CD1A2F">
                <w:t>1 or 1%</w:t>
              </w:r>
            </w:ins>
            <w:r>
              <w:t xml:space="preserve"> </w:t>
            </w:r>
          </w:p>
        </w:tc>
        <w:tc>
          <w:tcPr>
            <w:tcW w:w="1000" w:type="pct"/>
          </w:tcPr>
          <w:p w14:paraId="758405ED" w14:textId="568497E0" w:rsidR="00782805" w:rsidRDefault="00000000">
            <w:del w:id="50" w:author="Adrian Hayes-Santos" w:date="2025-09-09T01:54:00Z" w16du:dateUtc="2025-09-09T05:54:00Z">
              <w:r w:rsidDel="00CD1A2F">
                <w:delText>1</w:delText>
              </w:r>
            </w:del>
            <w:ins w:id="51" w:author="Adrian Hayes-Santos" w:date="2025-09-09T01:54:00Z" w16du:dateUtc="2025-09-09T05:54:00Z">
              <w:r w:rsidR="00CD1A2F">
                <w:t xml:space="preserve"> 2.5 or 2.5%</w:t>
              </w:r>
            </w:ins>
            <w:del w:id="52" w:author="Adrian Hayes-Santos" w:date="2025-09-09T01:54:00Z" w16du:dateUtc="2025-09-09T05:54:00Z">
              <w:r w:rsidDel="00CD1A2F">
                <w:delText xml:space="preserve"> </w:delText>
              </w:r>
            </w:del>
          </w:p>
        </w:tc>
        <w:tc>
          <w:tcPr>
            <w:tcW w:w="1000" w:type="pct"/>
          </w:tcPr>
          <w:p w14:paraId="64E45140" w14:textId="7D3AED35" w:rsidR="00782805" w:rsidRDefault="00000000">
            <w:r>
              <w:t xml:space="preserve">5 </w:t>
            </w:r>
            <w:ins w:id="53" w:author="Adrian Hayes-Santos" w:date="2025-09-09T01:54:00Z" w16du:dateUtc="2025-09-09T05:54:00Z">
              <w:r w:rsidR="00CD1A2F">
                <w:t>or 5%</w:t>
              </w:r>
            </w:ins>
          </w:p>
        </w:tc>
        <w:tc>
          <w:tcPr>
            <w:tcW w:w="1000" w:type="pct"/>
          </w:tcPr>
          <w:p w14:paraId="260E03B4" w14:textId="152EAF06" w:rsidR="00782805" w:rsidRDefault="00000000">
            <w:r>
              <w:t xml:space="preserve">10 </w:t>
            </w:r>
            <w:ins w:id="54" w:author="Adrian Hayes-Santos" w:date="2025-09-09T01:54:00Z" w16du:dateUtc="2025-09-09T05:54:00Z">
              <w:r w:rsidR="00CD1A2F">
                <w:t>or 1</w:t>
              </w:r>
            </w:ins>
            <w:ins w:id="55" w:author="Adrian Hayes-Santos" w:date="2025-09-09T01:55:00Z" w16du:dateUtc="2025-09-09T05:55:00Z">
              <w:r w:rsidR="00CD1A2F">
                <w:t>0%</w:t>
              </w:r>
            </w:ins>
          </w:p>
        </w:tc>
      </w:tr>
      <w:tr w:rsidR="00782805" w14:paraId="028ECFD8" w14:textId="77777777">
        <w:tc>
          <w:tcPr>
            <w:tcW w:w="5000" w:type="pct"/>
            <w:gridSpan w:val="5"/>
          </w:tcPr>
          <w:p w14:paraId="57EB8D0B" w14:textId="77777777" w:rsidR="00782805" w:rsidRDefault="00000000">
            <w:r>
              <w:t xml:space="preserve">Regulated Tree Cluster Preservation (fair or better condition): </w:t>
            </w:r>
          </w:p>
        </w:tc>
      </w:tr>
      <w:tr w:rsidR="00782805" w14:paraId="5227CF17" w14:textId="77777777">
        <w:tc>
          <w:tcPr>
            <w:tcW w:w="1000" w:type="pct"/>
          </w:tcPr>
          <w:p w14:paraId="3BC84AB7" w14:textId="77777777" w:rsidR="00782805" w:rsidRDefault="00000000">
            <w:r>
              <w:t xml:space="preserve">Number of trees in cluster </w:t>
            </w:r>
          </w:p>
        </w:tc>
        <w:tc>
          <w:tcPr>
            <w:tcW w:w="1000" w:type="pct"/>
          </w:tcPr>
          <w:p w14:paraId="0DE71FA2" w14:textId="77777777" w:rsidR="00782805" w:rsidRDefault="00000000">
            <w:r>
              <w:t xml:space="preserve">3—5 </w:t>
            </w:r>
          </w:p>
        </w:tc>
        <w:tc>
          <w:tcPr>
            <w:tcW w:w="1000" w:type="pct"/>
          </w:tcPr>
          <w:p w14:paraId="76B54976" w14:textId="77777777" w:rsidR="00782805" w:rsidRDefault="00000000">
            <w:r>
              <w:t xml:space="preserve">6—8 </w:t>
            </w:r>
          </w:p>
        </w:tc>
        <w:tc>
          <w:tcPr>
            <w:tcW w:w="1000" w:type="pct"/>
          </w:tcPr>
          <w:p w14:paraId="23D03C3D" w14:textId="77777777" w:rsidR="00782805" w:rsidRDefault="00000000">
            <w:r>
              <w:t xml:space="preserve">9—11 </w:t>
            </w:r>
          </w:p>
        </w:tc>
        <w:tc>
          <w:tcPr>
            <w:tcW w:w="1000" w:type="pct"/>
          </w:tcPr>
          <w:p w14:paraId="06A3BA1E" w14:textId="77777777" w:rsidR="00782805" w:rsidRDefault="00000000">
            <w:r>
              <w:t xml:space="preserve">12+ </w:t>
            </w:r>
          </w:p>
        </w:tc>
      </w:tr>
      <w:tr w:rsidR="00782805" w14:paraId="47BA8BB5" w14:textId="77777777">
        <w:tc>
          <w:tcPr>
            <w:tcW w:w="1000" w:type="pct"/>
          </w:tcPr>
          <w:p w14:paraId="5C40760D" w14:textId="625BCC32" w:rsidR="00782805" w:rsidRDefault="00000000">
            <w:r>
              <w:t xml:space="preserve">Bonus DU/Acre </w:t>
            </w:r>
            <w:ins w:id="56" w:author="Adrian Hayes-Santos" w:date="2025-09-09T01:56:00Z" w16du:dateUtc="2025-09-09T05:56:00Z">
              <w:r w:rsidR="00884433">
                <w:t>(whichever is greater)</w:t>
              </w:r>
            </w:ins>
          </w:p>
        </w:tc>
        <w:tc>
          <w:tcPr>
            <w:tcW w:w="1000" w:type="pct"/>
          </w:tcPr>
          <w:p w14:paraId="2FFDC29D" w14:textId="574CF91C" w:rsidR="00782805" w:rsidRDefault="00000000">
            <w:del w:id="57" w:author="Adrian Hayes-Santos" w:date="2025-09-09T01:55:00Z" w16du:dateUtc="2025-09-09T05:55:00Z">
              <w:r w:rsidDel="00CD1A2F">
                <w:delText>0.5</w:delText>
              </w:r>
            </w:del>
            <w:ins w:id="58" w:author="Adrian Hayes-Santos" w:date="2025-09-09T01:55:00Z" w16du:dateUtc="2025-09-09T05:55:00Z">
              <w:r w:rsidR="00CD1A2F">
                <w:t xml:space="preserve"> 1 or 1%</w:t>
              </w:r>
            </w:ins>
            <w:del w:id="59" w:author="Adrian Hayes-Santos" w:date="2025-09-09T01:55:00Z" w16du:dateUtc="2025-09-09T05:55:00Z">
              <w:r w:rsidDel="00CD1A2F">
                <w:delText xml:space="preserve"> </w:delText>
              </w:r>
            </w:del>
          </w:p>
        </w:tc>
        <w:tc>
          <w:tcPr>
            <w:tcW w:w="1000" w:type="pct"/>
          </w:tcPr>
          <w:p w14:paraId="351FDE79" w14:textId="0C933F39" w:rsidR="00782805" w:rsidRDefault="00000000">
            <w:del w:id="60" w:author="Adrian Hayes-Santos" w:date="2025-09-09T01:55:00Z" w16du:dateUtc="2025-09-09T05:55:00Z">
              <w:r w:rsidDel="00CD1A2F">
                <w:delText xml:space="preserve">1 </w:delText>
              </w:r>
            </w:del>
            <w:ins w:id="61" w:author="Adrian Hayes-Santos" w:date="2025-09-09T01:55:00Z" w16du:dateUtc="2025-09-09T05:55:00Z">
              <w:r w:rsidR="00CD1A2F">
                <w:t>2.5 or 2.5%</w:t>
              </w:r>
            </w:ins>
          </w:p>
        </w:tc>
        <w:tc>
          <w:tcPr>
            <w:tcW w:w="1000" w:type="pct"/>
          </w:tcPr>
          <w:p w14:paraId="22A68ED7" w14:textId="4506DB4F" w:rsidR="00782805" w:rsidRDefault="00000000">
            <w:r>
              <w:t xml:space="preserve">5 </w:t>
            </w:r>
            <w:ins w:id="62" w:author="Adrian Hayes-Santos" w:date="2025-09-09T01:55:00Z" w16du:dateUtc="2025-09-09T05:55:00Z">
              <w:r w:rsidR="00CD1A2F">
                <w:t>or 5%</w:t>
              </w:r>
            </w:ins>
          </w:p>
        </w:tc>
        <w:tc>
          <w:tcPr>
            <w:tcW w:w="1000" w:type="pct"/>
          </w:tcPr>
          <w:p w14:paraId="6AC2A180" w14:textId="603E1483" w:rsidR="00782805" w:rsidRDefault="00000000">
            <w:r>
              <w:t xml:space="preserve">10 </w:t>
            </w:r>
            <w:ins w:id="63" w:author="Adrian Hayes-Santos" w:date="2025-09-09T01:55:00Z" w16du:dateUtc="2025-09-09T05:55:00Z">
              <w:r w:rsidR="00CD1A2F">
                <w:t>or 10%</w:t>
              </w:r>
            </w:ins>
          </w:p>
        </w:tc>
      </w:tr>
    </w:tbl>
    <w:p w14:paraId="5A8E8149" w14:textId="77777777" w:rsidR="00782805" w:rsidRDefault="00782805"/>
    <w:p w14:paraId="2802A1E4" w14:textId="77777777" w:rsidR="00782805" w:rsidRDefault="00000000">
      <w:pPr>
        <w:pStyle w:val="Block3"/>
      </w:pPr>
      <w:r>
        <w:t xml:space="preserve">The city manager or designee may grant a density bonus for preserving tree clusters that, in his or her discretion, reasonably meet the following standards: </w:t>
      </w:r>
    </w:p>
    <w:p w14:paraId="08096F8A" w14:textId="77777777" w:rsidR="00782805" w:rsidRDefault="00000000">
      <w:pPr>
        <w:pStyle w:val="List3"/>
      </w:pPr>
      <w:r>
        <w:t>a.</w:t>
      </w:r>
      <w:r>
        <w:tab/>
        <w:t xml:space="preserve">Species within the cluster must be on the Gainesville Tree List. </w:t>
      </w:r>
    </w:p>
    <w:p w14:paraId="6D08AE16" w14:textId="77777777" w:rsidR="00782805" w:rsidRDefault="00000000">
      <w:pPr>
        <w:pStyle w:val="List3"/>
      </w:pPr>
      <w:r>
        <w:t>b.</w:t>
      </w:r>
      <w:r>
        <w:tab/>
        <w:t xml:space="preserve">Trees within a cluster must have a minimum average DBH of 8 inches. </w:t>
      </w:r>
    </w:p>
    <w:p w14:paraId="010B8199" w14:textId="77777777" w:rsidR="00782805" w:rsidRDefault="00000000">
      <w:pPr>
        <w:pStyle w:val="List3"/>
      </w:pPr>
      <w:r>
        <w:t>c.</w:t>
      </w:r>
      <w:r>
        <w:tab/>
        <w:t xml:space="preserve">Trees within a cluster must be sufficiently spaced as to not have overlapping root plates. </w:t>
      </w:r>
    </w:p>
    <w:p w14:paraId="31778AF2" w14:textId="77777777" w:rsidR="00782805" w:rsidRDefault="00000000">
      <w:pPr>
        <w:pStyle w:val="List3"/>
      </w:pPr>
      <w:r>
        <w:t>d.</w:t>
      </w:r>
      <w:r>
        <w:tab/>
        <w:t xml:space="preserve">Laurel oaks, water oaks, slash pines, and loblolly pines may not be included as part of a cluster. </w:t>
      </w:r>
    </w:p>
    <w:p w14:paraId="521A40E1" w14:textId="77777777" w:rsidR="00782805" w:rsidRDefault="00000000">
      <w:pPr>
        <w:pStyle w:val="List2"/>
      </w:pPr>
      <w:r>
        <w:t>2.</w:t>
      </w:r>
      <w:r>
        <w:tab/>
      </w:r>
      <w:r>
        <w:rPr>
          <w:i/>
        </w:rPr>
        <w:t>Affordable housing.</w:t>
      </w:r>
      <w:r>
        <w:t xml:space="preserve"> The city manager or designee may grant a density bonus for the provision of affordable housing units or payment-in-lieu in accordance with division 6 of article IV of this chapter. </w:t>
      </w:r>
    </w:p>
    <w:p w14:paraId="5437CA59" w14:textId="77777777" w:rsidR="00782805" w:rsidRDefault="00000000">
      <w:pPr>
        <w:pStyle w:val="List1"/>
      </w:pPr>
      <w:r>
        <w:t>D.</w:t>
      </w:r>
      <w:r>
        <w:tab/>
      </w:r>
      <w:r>
        <w:rPr>
          <w:i/>
        </w:rPr>
        <w:t>Review and approval.</w:t>
      </w:r>
      <w:r>
        <w:t xml:space="preserve"> Each request for a bonus is subject to the approval of the city manager or designee, based on the criteria outlined above in this section. </w:t>
      </w:r>
    </w:p>
    <w:p w14:paraId="7B5A88F4" w14:textId="77777777" w:rsidR="00782805" w:rsidRDefault="00000000">
      <w:pPr>
        <w:pStyle w:val="List1"/>
      </w:pPr>
      <w:r>
        <w:t>E.</w:t>
      </w:r>
      <w:r>
        <w:tab/>
      </w:r>
      <w:r>
        <w:rPr>
          <w:i/>
        </w:rPr>
        <w:t>Maximum allowable density bonuses.</w:t>
      </w:r>
      <w:r>
        <w:t xml:space="preserve"> The total density bonuses available to a development may not exceed a 50 percent increase over applicable available density by right. </w:t>
      </w:r>
    </w:p>
    <w:p w14:paraId="5B44E390" w14:textId="77777777" w:rsidR="00782805" w:rsidRDefault="00000000">
      <w:pPr>
        <w:pStyle w:val="HistoryNote"/>
      </w:pPr>
      <w:r>
        <w:t>(Ord. No. 170971, § 1, 2-21-19; Ord. No. 2022-679, § 3, 9-19-24)</w:t>
      </w:r>
    </w:p>
    <w:p w14:paraId="7CDAECF1" w14:textId="77777777" w:rsidR="00782805" w:rsidRDefault="00000000">
      <w:pPr>
        <w:pStyle w:val="Hang1"/>
      </w:pPr>
      <w:r>
        <w:t xml:space="preserve">Editor's note(s)—Ord. No. 170971, § 1, adopted February 21, 2019, amended § 30-4.9 in its entirety to read as herein set out. Former § 30-4.9, pertained to building height bonus system. See Code Comparative Table for complete derivation. </w:t>
      </w:r>
    </w:p>
    <w:p w14:paraId="75C0CD63" w14:textId="77777777" w:rsidR="00782805" w:rsidRDefault="00782805">
      <w:pPr>
        <w:spacing w:before="0" w:after="0"/>
      </w:pPr>
    </w:p>
    <w:sectPr w:rsidR="00782805">
      <w:headerReference w:type="default" r:id="rId19"/>
      <w:footerReference w:type="default" r:id="rId2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B73BD" w14:textId="77777777" w:rsidR="00512D0F" w:rsidRDefault="00512D0F">
      <w:pPr>
        <w:spacing w:before="0" w:after="0"/>
      </w:pPr>
      <w:r>
        <w:separator/>
      </w:r>
    </w:p>
  </w:endnote>
  <w:endnote w:type="continuationSeparator" w:id="0">
    <w:p w14:paraId="539FD649" w14:textId="77777777" w:rsidR="00512D0F" w:rsidRDefault="00512D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51223" w14:textId="77777777" w:rsidR="00782805" w:rsidRDefault="00782805">
    <w:pPr>
      <w:pStyle w:val="FooterCenter"/>
      <w:pBdr>
        <w:bottom w:val="single" w:sz="4" w:space="0" w:color="auto"/>
      </w:pBdr>
    </w:pPr>
  </w:p>
  <w:p w14:paraId="36257DFD" w14:textId="77777777" w:rsidR="00782805" w:rsidRDefault="00000000">
    <w:pPr>
      <w:pStyle w:val="FooterLeft"/>
    </w:pPr>
    <w:r>
      <w:tab/>
    </w:r>
    <w:r>
      <w:rPr>
        <w:rFonts w:ascii="Consolas" w:eastAsia="Consolas" w:hAnsi="Consolas" w:cs="Consolas"/>
        <w:sz w:val="12"/>
      </w:rPr>
      <w:t xml:space="preserve">   Created: 2025-07-02 13:10:01 [EST]</w:t>
    </w:r>
  </w:p>
  <w:p w14:paraId="575F325E" w14:textId="77777777" w:rsidR="00782805" w:rsidRDefault="00000000">
    <w:pPr>
      <w:pStyle w:val="FooterLeft"/>
    </w:pPr>
    <w:r>
      <w:t>(Supp. No. 62, Update 2)</w:t>
    </w:r>
  </w:p>
  <w:p w14:paraId="7A1C29B8" w14:textId="77777777" w:rsidR="00782805" w:rsidRDefault="00000000">
    <w:pPr>
      <w:pStyle w:val="FooterCenter"/>
    </w:pPr>
    <w:r>
      <w:cr/>
      <w:t xml:space="preserve">Page </w:t>
    </w:r>
    <w:r>
      <w:fldChar w:fldCharType="begin"/>
    </w:r>
    <w:r>
      <w:instrText>PAGE \* MERGEFORMAT</w:instrText>
    </w:r>
    <w:r>
      <w:fldChar w:fldCharType="separate"/>
    </w:r>
    <w:r w:rsidR="00CD1A2F">
      <w:rPr>
        <w:noProof/>
      </w:rPr>
      <w:t>1</w:t>
    </w:r>
    <w:r>
      <w:fldChar w:fldCharType="end"/>
    </w:r>
    <w:r>
      <w:t xml:space="preserve"> of </w:t>
    </w:r>
    <w:fldSimple w:instr="NUMPAGES \* MERGEFORMAT">
      <w:r w:rsidR="00CD1A2F">
        <w:rPr>
          <w:noProof/>
        </w:rPr>
        <w:t>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EB294" w14:textId="77777777" w:rsidR="00782805" w:rsidRDefault="00782805">
    <w:pPr>
      <w:pStyle w:val="FooterCenter"/>
      <w:pBdr>
        <w:bottom w:val="single" w:sz="4" w:space="0" w:color="auto"/>
      </w:pBdr>
    </w:pPr>
  </w:p>
  <w:p w14:paraId="0125C265" w14:textId="77777777" w:rsidR="00782805" w:rsidRDefault="00000000">
    <w:pPr>
      <w:pStyle w:val="FooterLeft"/>
    </w:pPr>
    <w:r>
      <w:tab/>
    </w:r>
    <w:r>
      <w:rPr>
        <w:rFonts w:ascii="Consolas" w:eastAsia="Consolas" w:hAnsi="Consolas" w:cs="Consolas"/>
        <w:sz w:val="12"/>
      </w:rPr>
      <w:t xml:space="preserve">   Created: 2025-07-02 13:10:01 [EST]</w:t>
    </w:r>
  </w:p>
  <w:p w14:paraId="209F3C04" w14:textId="77777777" w:rsidR="00782805" w:rsidRDefault="00000000">
    <w:pPr>
      <w:pStyle w:val="FooterLeft"/>
    </w:pPr>
    <w:r>
      <w:t>(Supp. No. 62, Update 2)</w:t>
    </w:r>
  </w:p>
  <w:p w14:paraId="17CE1616" w14:textId="74BD97DB" w:rsidR="00782805" w:rsidRDefault="00000000">
    <w:pPr>
      <w:pStyle w:val="FooterCenter"/>
    </w:pPr>
    <w:r>
      <w:cr/>
      <w:t xml:space="preserve">Page </w:t>
    </w:r>
    <w:r>
      <w:fldChar w:fldCharType="begin"/>
    </w:r>
    <w:r>
      <w:instrText>PAGE \* MERGEFORMAT</w:instrText>
    </w:r>
    <w:r>
      <w:fldChar w:fldCharType="separate"/>
    </w:r>
    <w:r w:rsidR="00CD1A2F">
      <w:rPr>
        <w:noProof/>
      </w:rPr>
      <w:t>5</w:t>
    </w:r>
    <w:r>
      <w:fldChar w:fldCharType="end"/>
    </w:r>
    <w:r>
      <w:t xml:space="preserve"> of </w:t>
    </w:r>
    <w:fldSimple w:instr="NUMPAGES \* MERGEFORMAT">
      <w:r w:rsidR="00CD1A2F">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166B1" w14:textId="77777777" w:rsidR="00512D0F" w:rsidRDefault="00512D0F">
      <w:pPr>
        <w:spacing w:before="0" w:after="0"/>
      </w:pPr>
      <w:r>
        <w:separator/>
      </w:r>
    </w:p>
  </w:footnote>
  <w:footnote w:type="continuationSeparator" w:id="0">
    <w:p w14:paraId="5F5E61A0" w14:textId="77777777" w:rsidR="00512D0F" w:rsidRDefault="00512D0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40582" w14:textId="77777777" w:rsidR="00782805" w:rsidRDefault="00782805">
    <w:pPr>
      <w:pStyle w:val="HeaderCenter"/>
    </w:pPr>
  </w:p>
  <w:p w14:paraId="23043068" w14:textId="77777777" w:rsidR="00782805" w:rsidRDefault="00782805">
    <w:pPr>
      <w:pStyle w:val="HeaderCenter"/>
      <w:pBdr>
        <w:top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A9A8F" w14:textId="77777777" w:rsidR="00782805" w:rsidRDefault="00782805">
    <w:pPr>
      <w:pStyle w:val="HeaderCenter"/>
    </w:pPr>
  </w:p>
  <w:p w14:paraId="29283020" w14:textId="77777777" w:rsidR="00782805" w:rsidRDefault="00782805">
    <w:pPr>
      <w:pStyle w:val="HeaderCenter"/>
      <w:pBdr>
        <w:top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multilevel"/>
    <w:tmpl w:val="A78C1216"/>
    <w:lvl w:ilvl="0">
      <w:start w:val="1"/>
      <w:numFmt w:val="decimal"/>
      <w:pStyle w:val="ListNumber4"/>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FFFFFF7E"/>
    <w:multiLevelType w:val="multilevel"/>
    <w:tmpl w:val="8658447C"/>
    <w:lvl w:ilvl="0">
      <w:start w:val="1"/>
      <w:numFmt w:val="decimal"/>
      <w:pStyle w:val="ListNumber3"/>
      <w:lvlText w:val="%1."/>
      <w:lvlJc w:val="left"/>
      <w:pPr>
        <w:tabs>
          <w:tab w:val="num" w:pos="1080"/>
        </w:tabs>
        <w:ind w:left="108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F"/>
    <w:multiLevelType w:val="multilevel"/>
    <w:tmpl w:val="925C80F0"/>
    <w:lvl w:ilvl="0">
      <w:start w:val="1"/>
      <w:numFmt w:val="decimal"/>
      <w:pStyle w:val="ListNumber2"/>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80"/>
    <w:multiLevelType w:val="multilevel"/>
    <w:tmpl w:val="0D42DF00"/>
    <w:lvl w:ilvl="0">
      <w:start w:val="1"/>
      <w:numFmt w:val="bullet"/>
      <w:pStyle w:val="ListBullet5"/>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1"/>
    <w:multiLevelType w:val="multilevel"/>
    <w:tmpl w:val="1F54494A"/>
    <w:lvl w:ilvl="0">
      <w:start w:val="1"/>
      <w:numFmt w:val="bullet"/>
      <w:pStyle w:val="ListBullet4"/>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2"/>
    <w:multiLevelType w:val="multilevel"/>
    <w:tmpl w:val="4B0EC25E"/>
    <w:lvl w:ilvl="0">
      <w:start w:val="1"/>
      <w:numFmt w:val="bullet"/>
      <w:pStyle w:val="ListBullet3"/>
      <w:lvlText w:val=""/>
      <w:lvlJc w:val="left"/>
      <w:pPr>
        <w:tabs>
          <w:tab w:val="num" w:pos="1080"/>
        </w:tabs>
        <w:ind w:left="108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3"/>
    <w:multiLevelType w:val="multilevel"/>
    <w:tmpl w:val="76169854"/>
    <w:lvl w:ilvl="0">
      <w:start w:val="1"/>
      <w:numFmt w:val="bullet"/>
      <w:pStyle w:val="ListBullet2"/>
      <w:lvlText w:val=""/>
      <w:lvlJc w:val="left"/>
      <w:pPr>
        <w:tabs>
          <w:tab w:val="num"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8"/>
    <w:multiLevelType w:val="multilevel"/>
    <w:tmpl w:val="E8744966"/>
    <w:lvl w:ilvl="0">
      <w:start w:val="1"/>
      <w:numFmt w:val="decimal"/>
      <w:pStyle w:val="ListNumber"/>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9"/>
    <w:multiLevelType w:val="multilevel"/>
    <w:tmpl w:val="CDE08810"/>
    <w:lvl w:ilvl="0">
      <w:start w:val="1"/>
      <w:numFmt w:val="bullet"/>
      <w:pStyle w:val="List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C1BED2E"/>
    <w:multiLevelType w:val="multilevel"/>
    <w:tmpl w:val="7742AB32"/>
    <w:lvl w:ilvl="0">
      <w:start w:val="1"/>
      <w:numFmt w:val="decimal"/>
      <w:pStyle w:val="ListNumber5"/>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0" w15:restartNumberingAfterBreak="0">
    <w:nsid w:val="7E1A1BDB"/>
    <w:multiLevelType w:val="multilevel"/>
    <w:tmpl w:val="9184F82A"/>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913517009">
    <w:abstractNumId w:val="8"/>
  </w:num>
  <w:num w:numId="2" w16cid:durableId="1108694940">
    <w:abstractNumId w:val="7"/>
  </w:num>
  <w:num w:numId="3" w16cid:durableId="592250795">
    <w:abstractNumId w:val="6"/>
  </w:num>
  <w:num w:numId="4" w16cid:durableId="1304198295">
    <w:abstractNumId w:val="5"/>
  </w:num>
  <w:num w:numId="5" w16cid:durableId="44642385">
    <w:abstractNumId w:val="4"/>
  </w:num>
  <w:num w:numId="6" w16cid:durableId="1942716339">
    <w:abstractNumId w:val="3"/>
  </w:num>
  <w:num w:numId="7" w16cid:durableId="1142818676">
    <w:abstractNumId w:val="2"/>
  </w:num>
  <w:num w:numId="8" w16cid:durableId="343746585">
    <w:abstractNumId w:val="1"/>
  </w:num>
  <w:num w:numId="9" w16cid:durableId="264197985">
    <w:abstractNumId w:val="0"/>
  </w:num>
  <w:num w:numId="10" w16cid:durableId="1322123709">
    <w:abstractNumId w:val="9"/>
  </w:num>
  <w:num w:numId="11" w16cid:durableId="23875945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drian Hayes-Santos">
    <w15:presenceInfo w15:providerId="Windows Live" w15:userId="08370f6e95b29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805"/>
    <w:rsid w:val="00512D0F"/>
    <w:rsid w:val="00782805"/>
    <w:rsid w:val="00884433"/>
    <w:rsid w:val="00CD1A2F"/>
    <w:rsid w:val="00E04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1FA0B"/>
  <w15:docId w15:val="{B757B2C4-41C1-4815-8D90-F98DE9E25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before="4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left"/>
    </w:pPr>
    <w:rPr>
      <w:rFonts w:ascii="Calibri" w:hAnsi="Calibri"/>
      <w:sz w:val="20"/>
    </w:rPr>
  </w:style>
  <w:style w:type="paragraph" w:styleId="Heading1">
    <w:name w:val="heading 1"/>
    <w:basedOn w:val="Normal"/>
    <w:next w:val="Block1"/>
    <w:link w:val="Heading1Char"/>
    <w:uiPriority w:val="9"/>
    <w:qFormat/>
    <w:pPr>
      <w:keepNext/>
      <w:keepLines/>
      <w:spacing w:before="120" w:after="240" w:line="276" w:lineRule="auto"/>
      <w:jc w:val="center"/>
      <w:outlineLvl w:val="0"/>
    </w:pPr>
    <w:rPr>
      <w:b/>
      <w:sz w:val="32"/>
      <w:szCs w:val="32"/>
    </w:rPr>
  </w:style>
  <w:style w:type="paragraph" w:styleId="Heading2">
    <w:name w:val="heading 2"/>
    <w:basedOn w:val="Heading1"/>
    <w:next w:val="Block1"/>
    <w:link w:val="Heading2Char"/>
    <w:uiPriority w:val="9"/>
    <w:semiHidden/>
    <w:unhideWhenUsed/>
    <w:qFormat/>
    <w:pPr>
      <w:outlineLvl w:val="1"/>
    </w:pPr>
    <w:rPr>
      <w:rFonts w:eastAsia="Times New Roman"/>
      <w:sz w:val="28"/>
    </w:rPr>
  </w:style>
  <w:style w:type="paragraph" w:styleId="Heading3">
    <w:name w:val="heading 3"/>
    <w:basedOn w:val="Heading2"/>
    <w:next w:val="Block1"/>
    <w:link w:val="Heading3Char"/>
    <w:uiPriority w:val="9"/>
    <w:semiHidden/>
    <w:unhideWhenUsed/>
    <w:qFormat/>
    <w:pPr>
      <w:spacing w:after="220"/>
      <w:outlineLvl w:val="2"/>
    </w:pPr>
    <w:rPr>
      <w:rFonts w:eastAsiaTheme="majorEastAsia" w:cstheme="majorBidi"/>
      <w:i/>
      <w:szCs w:val="24"/>
    </w:rPr>
  </w:style>
  <w:style w:type="paragraph" w:styleId="Heading4">
    <w:name w:val="heading 4"/>
    <w:basedOn w:val="Heading3"/>
    <w:next w:val="Block1"/>
    <w:link w:val="Heading4Char"/>
    <w:uiPriority w:val="9"/>
    <w:semiHidden/>
    <w:unhideWhenUsed/>
    <w:qFormat/>
    <w:pPr>
      <w:spacing w:after="200"/>
      <w:outlineLvl w:val="3"/>
    </w:pPr>
    <w:rPr>
      <w:b w:val="0"/>
      <w:iCs/>
    </w:rPr>
  </w:style>
  <w:style w:type="paragraph" w:styleId="Heading5">
    <w:name w:val="heading 5"/>
    <w:basedOn w:val="Heading4"/>
    <w:next w:val="Block1"/>
    <w:link w:val="Heading5Char"/>
    <w:uiPriority w:val="9"/>
    <w:semiHidden/>
    <w:unhideWhenUsed/>
    <w:qFormat/>
    <w:pPr>
      <w:outlineLvl w:val="4"/>
    </w:pPr>
    <w:rPr>
      <w:b/>
      <w:i w:val="0"/>
      <w:sz w:val="26"/>
    </w:rPr>
  </w:style>
  <w:style w:type="paragraph" w:styleId="Heading6">
    <w:name w:val="heading 6"/>
    <w:basedOn w:val="Heading5"/>
    <w:next w:val="Block1"/>
    <w:link w:val="Heading6Char"/>
    <w:uiPriority w:val="9"/>
    <w:semiHidden/>
    <w:unhideWhenUsed/>
    <w:qFormat/>
    <w:pPr>
      <w:outlineLvl w:val="5"/>
    </w:pPr>
    <w:rPr>
      <w:i/>
    </w:rPr>
  </w:style>
  <w:style w:type="paragraph" w:styleId="Heading7">
    <w:name w:val="heading 7"/>
    <w:basedOn w:val="Heading6"/>
    <w:next w:val="Block1"/>
    <w:link w:val="Heading7Char"/>
    <w:uiPriority w:val="1"/>
    <w:pPr>
      <w:spacing w:after="180"/>
      <w:outlineLvl w:val="6"/>
    </w:pPr>
    <w:rPr>
      <w:b w:val="0"/>
      <w:iCs w:val="0"/>
    </w:rPr>
  </w:style>
  <w:style w:type="paragraph" w:styleId="Heading8">
    <w:name w:val="heading 8"/>
    <w:basedOn w:val="Heading7"/>
    <w:next w:val="Block1"/>
    <w:link w:val="Heading8Char"/>
    <w:uiPriority w:val="1"/>
    <w:pPr>
      <w:outlineLvl w:val="7"/>
    </w:pPr>
    <w:rPr>
      <w:b/>
      <w:i w:val="0"/>
      <w:sz w:val="24"/>
      <w:szCs w:val="21"/>
    </w:rPr>
  </w:style>
  <w:style w:type="paragraph" w:styleId="Heading9">
    <w:name w:val="heading 9"/>
    <w:basedOn w:val="Heading8"/>
    <w:next w:val="Block1"/>
    <w:link w:val="Heading9Char"/>
    <w:uiPriority w:val="1"/>
    <w:pPr>
      <w:spacing w:after="16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
    <w:name w:val="Section"/>
    <w:basedOn w:val="Heading1"/>
    <w:next w:val="Block1"/>
    <w:uiPriority w:val="1"/>
    <w:qFormat/>
    <w:pPr>
      <w:spacing w:before="180" w:after="120"/>
      <w:ind w:left="950" w:hanging="950"/>
      <w:jc w:val="left"/>
      <w:outlineLvl w:val="5"/>
    </w:pPr>
    <w:rPr>
      <w:sz w:val="24"/>
    </w:rPr>
  </w:style>
  <w:style w:type="paragraph" w:customStyle="1" w:styleId="Hang1">
    <w:name w:val="Hang 1"/>
    <w:basedOn w:val="Normal"/>
    <w:uiPriority w:val="8"/>
    <w:qFormat/>
    <w:pPr>
      <w:ind w:left="475" w:hanging="475"/>
    </w:pPr>
  </w:style>
  <w:style w:type="paragraph" w:customStyle="1" w:styleId="List1">
    <w:name w:val="List 1"/>
    <w:basedOn w:val="Hang1"/>
    <w:uiPriority w:val="5"/>
    <w:qFormat/>
  </w:style>
  <w:style w:type="paragraph" w:styleId="List2">
    <w:name w:val="List 2"/>
    <w:basedOn w:val="List1"/>
    <w:uiPriority w:val="5"/>
    <w:qFormat/>
    <w:pPr>
      <w:ind w:left="950"/>
    </w:pPr>
  </w:style>
  <w:style w:type="table" w:customStyle="1" w:styleId="Table1">
    <w:name w:val="Table 1"/>
    <w:basedOn w:val="TableNormal"/>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customStyle="1" w:styleId="Block1">
    <w:name w:val="Block 1"/>
    <w:basedOn w:val="Normal"/>
    <w:uiPriority w:val="3"/>
    <w:qFormat/>
  </w:style>
  <w:style w:type="paragraph" w:customStyle="1" w:styleId="ImageCaptionAboveLeft">
    <w:name w:val="Image Caption Above Left"/>
    <w:basedOn w:val="Block1"/>
    <w:next w:val="Block1"/>
    <w:qFormat/>
    <w:pPr>
      <w:keepNext/>
    </w:pPr>
    <w:rPr>
      <w:b/>
    </w:rPr>
  </w:style>
  <w:style w:type="paragraph" w:customStyle="1" w:styleId="ImageLeft">
    <w:name w:val="Image Left"/>
    <w:next w:val="Block1"/>
    <w:qFormat/>
    <w:pPr>
      <w:jc w:val="left"/>
    </w:pPr>
    <w:rPr>
      <w:rFonts w:ascii="Calibri" w:hAnsi="Calibri"/>
    </w:rPr>
  </w:style>
  <w:style w:type="paragraph" w:customStyle="1" w:styleId="ImageCenter">
    <w:name w:val="Image Center"/>
    <w:basedOn w:val="ImageLeft"/>
    <w:next w:val="Block1"/>
    <w:qFormat/>
    <w:pPr>
      <w:jc w:val="center"/>
    </w:pPr>
  </w:style>
  <w:style w:type="paragraph" w:styleId="List3">
    <w:name w:val="List 3"/>
    <w:basedOn w:val="List2"/>
    <w:uiPriority w:val="5"/>
    <w:unhideWhenUsed/>
    <w:qFormat/>
    <w:pPr>
      <w:ind w:left="1425"/>
    </w:pPr>
  </w:style>
  <w:style w:type="paragraph" w:customStyle="1" w:styleId="HistoryNote">
    <w:name w:val="History Note"/>
    <w:basedOn w:val="Block1"/>
    <w:next w:val="Section"/>
    <w:uiPriority w:val="2"/>
    <w:qFormat/>
    <w:pPr>
      <w:spacing w:after="240"/>
    </w:pPr>
  </w:style>
  <w:style w:type="paragraph" w:customStyle="1" w:styleId="HeaderCenter">
    <w:name w:val="Header Center"/>
    <w:basedOn w:val="Normal"/>
    <w:qFormat/>
    <w:pPr>
      <w:spacing w:after="40"/>
      <w:jc w:val="center"/>
    </w:pPr>
  </w:style>
  <w:style w:type="paragraph" w:customStyle="1" w:styleId="FooterLeft">
    <w:name w:val="Footer Left"/>
    <w:basedOn w:val="Normal"/>
    <w:qFormat/>
    <w:pPr>
      <w:tabs>
        <w:tab w:val="right" w:pos="9360"/>
      </w:tabs>
      <w:spacing w:after="40"/>
    </w:pPr>
    <w:rPr>
      <w:sz w:val="18"/>
    </w:rPr>
  </w:style>
  <w:style w:type="paragraph" w:customStyle="1" w:styleId="FooterCenter">
    <w:name w:val="Footer Center"/>
    <w:basedOn w:val="FooterLeft"/>
    <w:qFormat/>
    <w:pPr>
      <w:jc w:val="center"/>
    </w:pPr>
  </w:style>
  <w:style w:type="character" w:customStyle="1" w:styleId="Heading1Char">
    <w:name w:val="Heading 1 Char"/>
    <w:basedOn w:val="DefaultParagraphFont"/>
    <w:link w:val="Heading1"/>
    <w:uiPriority w:val="1"/>
    <w:rPr>
      <w:rFonts w:ascii="Calibri" w:hAnsi="Calibri"/>
      <w:b/>
      <w:sz w:val="32"/>
      <w:szCs w:val="32"/>
    </w:rPr>
  </w:style>
  <w:style w:type="paragraph" w:customStyle="1" w:styleId="NoSpacing1">
    <w:name w:val="No Spacing1"/>
    <w:basedOn w:val="Normal"/>
    <w:uiPriority w:val="99"/>
    <w:unhideWhenUsed/>
    <w:pPr>
      <w:spacing w:after="0"/>
      <w:contextualSpacing/>
    </w:pPr>
  </w:style>
  <w:style w:type="character" w:customStyle="1" w:styleId="Heading2Char">
    <w:name w:val="Heading 2 Char"/>
    <w:basedOn w:val="DefaultParagraphFont"/>
    <w:link w:val="Heading2"/>
    <w:uiPriority w:val="1"/>
    <w:rPr>
      <w:rFonts w:asciiTheme="majorHAnsi" w:eastAsia="Times New Roman" w:hAnsiTheme="majorHAnsi"/>
      <w:b/>
      <w:sz w:val="28"/>
      <w:szCs w:val="32"/>
    </w:rPr>
  </w:style>
  <w:style w:type="character" w:customStyle="1" w:styleId="Heading3Char">
    <w:name w:val="Heading 3 Char"/>
    <w:basedOn w:val="DefaultParagraphFont"/>
    <w:link w:val="Heading3"/>
    <w:uiPriority w:val="1"/>
    <w:rPr>
      <w:rFonts w:asciiTheme="majorHAnsi" w:eastAsiaTheme="majorEastAsia" w:hAnsiTheme="majorHAnsi" w:cstheme="majorBidi"/>
      <w:b/>
      <w:i/>
      <w:sz w:val="28"/>
    </w:rPr>
  </w:style>
  <w:style w:type="paragraph" w:styleId="ListParagraph">
    <w:name w:val="List Paragraph"/>
    <w:basedOn w:val="Normal"/>
    <w:uiPriority w:val="98"/>
    <w:semiHidden/>
    <w:qFormat/>
    <w:pPr>
      <w:ind w:left="475" w:hanging="475"/>
    </w:pPr>
  </w:style>
  <w:style w:type="character" w:customStyle="1" w:styleId="Heading4Char">
    <w:name w:val="Heading 4 Char"/>
    <w:basedOn w:val="DefaultParagraphFont"/>
    <w:link w:val="Heading4"/>
    <w:uiPriority w:val="1"/>
    <w:rPr>
      <w:rFonts w:asciiTheme="majorHAnsi" w:eastAsiaTheme="majorEastAsia" w:hAnsiTheme="majorHAnsi" w:cstheme="majorBidi"/>
      <w:i/>
      <w:iCs/>
      <w:sz w:val="28"/>
    </w:rPr>
  </w:style>
  <w:style w:type="character" w:customStyle="1" w:styleId="Heading5Char">
    <w:name w:val="Heading 5 Char"/>
    <w:basedOn w:val="DefaultParagraphFont"/>
    <w:link w:val="Heading5"/>
    <w:uiPriority w:val="1"/>
    <w:rPr>
      <w:rFonts w:asciiTheme="majorHAnsi" w:eastAsiaTheme="majorEastAsia" w:hAnsiTheme="majorHAnsi" w:cstheme="majorBidi"/>
      <w:b/>
      <w:iCs/>
      <w:sz w:val="26"/>
    </w:rPr>
  </w:style>
  <w:style w:type="paragraph" w:customStyle="1" w:styleId="ListParagraph2">
    <w:name w:val="List Paragraph 2"/>
    <w:basedOn w:val="List1"/>
    <w:uiPriority w:val="98"/>
    <w:semiHidden/>
    <w:unhideWhenUsed/>
    <w:qFormat/>
    <w:pPr>
      <w:ind w:left="950"/>
    </w:pPr>
  </w:style>
  <w:style w:type="paragraph" w:styleId="FootnoteText">
    <w:name w:val="footnote text"/>
    <w:basedOn w:val="Normal"/>
    <w:link w:val="FootnoteTextChar"/>
    <w:uiPriority w:val="99"/>
    <w:unhideWhenUsed/>
    <w:pPr>
      <w:spacing w:after="0"/>
    </w:pPr>
    <w:rPr>
      <w:szCs w:val="20"/>
    </w:rPr>
  </w:style>
  <w:style w:type="character" w:customStyle="1" w:styleId="FootnoteTextChar">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tabs>
        <w:tab w:val="right" w:leader="dot" w:pos="9000"/>
      </w:tabs>
      <w:spacing w:after="60" w:line="276" w:lineRule="auto"/>
      <w:ind w:left="245" w:hanging="245"/>
    </w:pPr>
  </w:style>
  <w:style w:type="paragraph" w:styleId="TOC2">
    <w:name w:val="toc 2"/>
    <w:basedOn w:val="TOC1"/>
    <w:next w:val="TOC3"/>
    <w:uiPriority w:val="69"/>
    <w:unhideWhenUsed/>
    <w:qFormat/>
    <w:pPr>
      <w:ind w:left="720"/>
    </w:pPr>
  </w:style>
  <w:style w:type="paragraph" w:styleId="TOC3">
    <w:name w:val="toc 3"/>
    <w:basedOn w:val="TOC2"/>
    <w:next w:val="TOC4"/>
    <w:uiPriority w:val="69"/>
    <w:unhideWhenUsed/>
    <w:qFormat/>
    <w:pPr>
      <w:ind w:left="1195"/>
    </w:pPr>
  </w:style>
  <w:style w:type="paragraph" w:styleId="TOC4">
    <w:name w:val="toc 4"/>
    <w:basedOn w:val="TOC3"/>
    <w:next w:val="TOC5"/>
    <w:uiPriority w:val="69"/>
    <w:unhideWhenUsed/>
    <w:qFormat/>
    <w:pPr>
      <w:ind w:left="1685"/>
    </w:pPr>
  </w:style>
  <w:style w:type="paragraph" w:styleId="Index1">
    <w:name w:val="index 1"/>
    <w:basedOn w:val="TOC1"/>
    <w:next w:val="Index2"/>
    <w:uiPriority w:val="99"/>
    <w:unhideWhenUsed/>
  </w:style>
  <w:style w:type="paragraph" w:styleId="Index2">
    <w:name w:val="index 2"/>
    <w:basedOn w:val="TOC2"/>
    <w:next w:val="Index3"/>
    <w:uiPriority w:val="99"/>
    <w:unhideWhenUsed/>
  </w:style>
  <w:style w:type="paragraph" w:styleId="Index3">
    <w:name w:val="index 3"/>
    <w:basedOn w:val="TOC3"/>
    <w:next w:val="Index4"/>
    <w:uiPriority w:val="99"/>
    <w:unhideWhenUsed/>
  </w:style>
  <w:style w:type="paragraph" w:styleId="Index4">
    <w:name w:val="index 4"/>
    <w:basedOn w:val="TOC4"/>
    <w:next w:val="Index6"/>
    <w:uiPriority w:val="99"/>
    <w:unhideWhenUsed/>
  </w:style>
  <w:style w:type="paragraph" w:styleId="TOC5">
    <w:name w:val="toc 5"/>
    <w:basedOn w:val="TOC4"/>
    <w:next w:val="TOC6"/>
    <w:uiPriority w:val="69"/>
    <w:unhideWhenUsed/>
    <w:qFormat/>
    <w:pPr>
      <w:ind w:left="2160"/>
    </w:pPr>
  </w:style>
  <w:style w:type="paragraph" w:styleId="Index5">
    <w:name w:val="index 5"/>
    <w:basedOn w:val="TOC5"/>
    <w:next w:val="Index6"/>
    <w:uiPriority w:val="99"/>
    <w:unhideWhenUsed/>
  </w:style>
  <w:style w:type="paragraph" w:styleId="TOC6">
    <w:name w:val="toc 6"/>
    <w:basedOn w:val="TOC5"/>
    <w:uiPriority w:val="69"/>
    <w:unhideWhenUsed/>
    <w:qFormat/>
    <w:pPr>
      <w:ind w:left="2635"/>
    </w:pPr>
  </w:style>
  <w:style w:type="paragraph" w:styleId="Index6">
    <w:name w:val="index 6"/>
    <w:basedOn w:val="TOC6"/>
    <w:next w:val="Index7"/>
    <w:uiPriority w:val="99"/>
    <w:unhideWhenUsed/>
  </w:style>
  <w:style w:type="paragraph" w:styleId="TOC7">
    <w:name w:val="toc 7"/>
    <w:basedOn w:val="TOC6"/>
    <w:next w:val="TOC8"/>
    <w:uiPriority w:val="69"/>
    <w:unhideWhenUsed/>
    <w:qFormat/>
    <w:pPr>
      <w:ind w:left="3125"/>
    </w:pPr>
  </w:style>
  <w:style w:type="paragraph" w:styleId="Index7">
    <w:name w:val="index 7"/>
    <w:basedOn w:val="TOC7"/>
    <w:next w:val="Index8"/>
    <w:uiPriority w:val="99"/>
    <w:unhideWhenUsed/>
  </w:style>
  <w:style w:type="paragraph" w:styleId="TOC8">
    <w:name w:val="toc 8"/>
    <w:basedOn w:val="TOC7"/>
    <w:next w:val="TOC9"/>
    <w:uiPriority w:val="69"/>
    <w:unhideWhenUsed/>
    <w:qFormat/>
    <w:pPr>
      <w:ind w:left="3600"/>
    </w:pPr>
  </w:style>
  <w:style w:type="paragraph" w:styleId="Index8">
    <w:name w:val="index 8"/>
    <w:basedOn w:val="TOC8"/>
    <w:next w:val="Index9"/>
    <w:uiPriority w:val="99"/>
    <w:unhideWhenUsed/>
  </w:style>
  <w:style w:type="paragraph" w:styleId="TOC9">
    <w:name w:val="toc 9"/>
    <w:basedOn w:val="TOC8"/>
    <w:uiPriority w:val="69"/>
    <w:unhideWhenUsed/>
    <w:qFormat/>
    <w:pPr>
      <w:ind w:left="4075"/>
    </w:pPr>
  </w:style>
  <w:style w:type="paragraph" w:styleId="Index9">
    <w:name w:val="index 9"/>
    <w:basedOn w:val="TOC9"/>
    <w:uiPriority w:val="99"/>
    <w:unhideWhenUsed/>
  </w:style>
  <w:style w:type="paragraph" w:customStyle="1" w:styleId="Paragraph1">
    <w:name w:val="Paragraph 1"/>
    <w:basedOn w:val="Normal"/>
    <w:uiPriority w:val="7"/>
    <w:qFormat/>
    <w:pPr>
      <w:ind w:firstLine="475"/>
    </w:pPr>
  </w:style>
  <w:style w:type="paragraph" w:styleId="NormalWeb">
    <w:name w:val="Normal (Web)"/>
    <w:basedOn w:val="Normal"/>
    <w:uiPriority w:val="99"/>
    <w:semiHidden/>
    <w:unhideWhenUsed/>
    <w:pPr>
      <w:spacing w:before="100" w:beforeAutospacing="1" w:after="100" w:afterAutospacing="1"/>
    </w:pPr>
    <w:rPr>
      <w:rFonts w:ascii="Verdana" w:eastAsia="Times New Roman" w:hAnsi="Verdana" w:cs="Times New Roman"/>
    </w:rPr>
  </w:style>
  <w:style w:type="paragraph" w:styleId="Title">
    <w:name w:val="Title"/>
    <w:basedOn w:val="Normal"/>
    <w:next w:val="Normal"/>
    <w:link w:val="TitleChar"/>
    <w:uiPriority w:val="10"/>
    <w:qFormat/>
    <w:pPr>
      <w:spacing w:after="0" w:line="480" w:lineRule="auto"/>
      <w:contextualSpacing/>
      <w:jc w:val="center"/>
      <w:outlineLvl w:val="0"/>
    </w:pPr>
    <w:rPr>
      <w:rFonts w:eastAsiaTheme="majorEastAsia" w:cstheme="majorBidi"/>
      <w:b/>
      <w:spacing w:val="-10"/>
      <w:kern w:val="28"/>
      <w:sz w:val="52"/>
      <w:szCs w:val="56"/>
    </w:rPr>
  </w:style>
  <w:style w:type="character" w:customStyle="1" w:styleId="TitleChar">
    <w:name w:val="Title Char"/>
    <w:basedOn w:val="DefaultParagraphFont"/>
    <w:link w:val="Title"/>
    <w:rPr>
      <w:rFonts w:ascii="Calibri" w:eastAsiaTheme="majorEastAsia" w:hAnsi="Calibri" w:cstheme="majorBidi"/>
      <w:b/>
      <w:spacing w:val="-10"/>
      <w:kern w:val="28"/>
      <w:sz w:val="52"/>
      <w:szCs w:val="56"/>
    </w:rPr>
  </w:style>
  <w:style w:type="paragraph" w:customStyle="1" w:styleId="ReferenceNote">
    <w:name w:val="Reference Note"/>
    <w:basedOn w:val="Block1"/>
    <w:next w:val="Block1"/>
    <w:uiPriority w:val="2"/>
    <w:qFormat/>
  </w:style>
  <w:style w:type="paragraph" w:customStyle="1" w:styleId="Block2">
    <w:name w:val="Block 2"/>
    <w:basedOn w:val="Block1"/>
    <w:uiPriority w:val="3"/>
    <w:unhideWhenUsed/>
    <w:qFormat/>
    <w:pPr>
      <w:ind w:left="475"/>
    </w:pPr>
  </w:style>
  <w:style w:type="paragraph" w:customStyle="1" w:styleId="Block3">
    <w:name w:val="Block 3"/>
    <w:basedOn w:val="Block2"/>
    <w:uiPriority w:val="3"/>
    <w:unhideWhenUsed/>
    <w:qFormat/>
    <w:pPr>
      <w:ind w:left="950"/>
    </w:pPr>
  </w:style>
  <w:style w:type="paragraph" w:customStyle="1" w:styleId="Block4">
    <w:name w:val="Block 4"/>
    <w:basedOn w:val="Block3"/>
    <w:uiPriority w:val="3"/>
    <w:unhideWhenUsed/>
    <w:qFormat/>
    <w:pPr>
      <w:ind w:left="1440"/>
    </w:pPr>
  </w:style>
  <w:style w:type="paragraph" w:customStyle="1" w:styleId="Block5">
    <w:name w:val="Block 5"/>
    <w:basedOn w:val="Block4"/>
    <w:uiPriority w:val="3"/>
    <w:unhideWhenUsed/>
    <w:qFormat/>
    <w:pPr>
      <w:ind w:left="1915"/>
    </w:pPr>
  </w:style>
  <w:style w:type="paragraph" w:customStyle="1" w:styleId="Block6">
    <w:name w:val="Block 6"/>
    <w:basedOn w:val="Block5"/>
    <w:uiPriority w:val="3"/>
    <w:unhideWhenUsed/>
    <w:pPr>
      <w:ind w:left="2390"/>
    </w:pPr>
  </w:style>
  <w:style w:type="paragraph" w:customStyle="1" w:styleId="Block7">
    <w:name w:val="Block 7"/>
    <w:basedOn w:val="Block6"/>
    <w:uiPriority w:val="3"/>
    <w:unhideWhenUsed/>
    <w:pPr>
      <w:ind w:left="2880"/>
    </w:pPr>
  </w:style>
  <w:style w:type="paragraph" w:customStyle="1" w:styleId="Block8">
    <w:name w:val="Block 8"/>
    <w:basedOn w:val="Block7"/>
    <w:uiPriority w:val="3"/>
    <w:unhideWhenUsed/>
    <w:pPr>
      <w:ind w:left="3355"/>
    </w:pPr>
  </w:style>
  <w:style w:type="paragraph" w:customStyle="1" w:styleId="Block9">
    <w:name w:val="Block 9"/>
    <w:basedOn w:val="Block8"/>
    <w:uiPriority w:val="3"/>
    <w:unhideWhenUsed/>
    <w:pPr>
      <w:ind w:left="3830"/>
    </w:pPr>
  </w:style>
  <w:style w:type="paragraph" w:styleId="List4">
    <w:name w:val="List 4"/>
    <w:basedOn w:val="List3"/>
    <w:uiPriority w:val="5"/>
    <w:unhideWhenUsed/>
    <w:qFormat/>
    <w:pPr>
      <w:ind w:left="1915"/>
    </w:pPr>
  </w:style>
  <w:style w:type="paragraph" w:styleId="List5">
    <w:name w:val="List 5"/>
    <w:basedOn w:val="List4"/>
    <w:uiPriority w:val="5"/>
    <w:unhideWhenUsed/>
    <w:qFormat/>
    <w:pPr>
      <w:ind w:left="2865"/>
    </w:pPr>
  </w:style>
  <w:style w:type="paragraph" w:customStyle="1" w:styleId="List6">
    <w:name w:val="List 6"/>
    <w:basedOn w:val="List5"/>
    <w:uiPriority w:val="5"/>
    <w:unhideWhenUsed/>
    <w:pPr>
      <w:ind w:left="3355"/>
    </w:pPr>
  </w:style>
  <w:style w:type="paragraph" w:customStyle="1" w:styleId="List7">
    <w:name w:val="List 7"/>
    <w:basedOn w:val="List6"/>
    <w:uiPriority w:val="5"/>
    <w:unhideWhenUsed/>
    <w:pPr>
      <w:ind w:left="3830"/>
    </w:pPr>
  </w:style>
  <w:style w:type="paragraph" w:customStyle="1" w:styleId="List8">
    <w:name w:val="List 8"/>
    <w:basedOn w:val="List7"/>
    <w:uiPriority w:val="5"/>
    <w:unhideWhenUsed/>
    <w:pPr>
      <w:ind w:left="4305"/>
    </w:pPr>
  </w:style>
  <w:style w:type="paragraph" w:customStyle="1" w:styleId="List9">
    <w:name w:val="List 9"/>
    <w:basedOn w:val="List8"/>
    <w:uiPriority w:val="5"/>
    <w:unhideWhenUsed/>
    <w:pPr>
      <w:ind w:left="4795"/>
    </w:pPr>
  </w:style>
  <w:style w:type="paragraph" w:customStyle="1" w:styleId="Hang2">
    <w:name w:val="Hang 2"/>
    <w:basedOn w:val="Hang1"/>
    <w:uiPriority w:val="8"/>
    <w:unhideWhenUsed/>
    <w:qFormat/>
    <w:pPr>
      <w:ind w:left="950"/>
    </w:pPr>
  </w:style>
  <w:style w:type="paragraph" w:customStyle="1" w:styleId="Hang3">
    <w:name w:val="Hang 3"/>
    <w:basedOn w:val="Hang2"/>
    <w:uiPriority w:val="8"/>
    <w:unhideWhenUsed/>
    <w:qFormat/>
    <w:pPr>
      <w:ind w:left="1425"/>
    </w:pPr>
  </w:style>
  <w:style w:type="paragraph" w:customStyle="1" w:styleId="Hang4">
    <w:name w:val="Hang 4"/>
    <w:basedOn w:val="Hang3"/>
    <w:uiPriority w:val="8"/>
    <w:unhideWhenUsed/>
    <w:qFormat/>
    <w:pPr>
      <w:ind w:left="1915"/>
    </w:pPr>
  </w:style>
  <w:style w:type="paragraph" w:customStyle="1" w:styleId="Hang5">
    <w:name w:val="Hang 5"/>
    <w:basedOn w:val="Hang4"/>
    <w:uiPriority w:val="8"/>
    <w:unhideWhenUsed/>
    <w:qFormat/>
    <w:pPr>
      <w:ind w:left="2390"/>
    </w:pPr>
  </w:style>
  <w:style w:type="paragraph" w:customStyle="1" w:styleId="Hang6">
    <w:name w:val="Hang 6"/>
    <w:basedOn w:val="Hang5"/>
    <w:uiPriority w:val="8"/>
    <w:unhideWhenUsed/>
    <w:pPr>
      <w:ind w:left="2865"/>
    </w:pPr>
  </w:style>
  <w:style w:type="paragraph" w:customStyle="1" w:styleId="Hang7">
    <w:name w:val="Hang 7"/>
    <w:basedOn w:val="Hang6"/>
    <w:uiPriority w:val="8"/>
    <w:unhideWhenUsed/>
    <w:pPr>
      <w:ind w:left="3355"/>
    </w:pPr>
  </w:style>
  <w:style w:type="paragraph" w:customStyle="1" w:styleId="Hang8">
    <w:name w:val="Hang 8"/>
    <w:basedOn w:val="Hang7"/>
    <w:uiPriority w:val="8"/>
    <w:unhideWhenUsed/>
    <w:pPr>
      <w:ind w:left="3830"/>
    </w:pPr>
  </w:style>
  <w:style w:type="paragraph" w:customStyle="1" w:styleId="Hang9">
    <w:name w:val="Hang 9"/>
    <w:basedOn w:val="Hang8"/>
    <w:uiPriority w:val="8"/>
    <w:unhideWhenUsed/>
    <w:pPr>
      <w:ind w:left="4305"/>
    </w:pPr>
  </w:style>
  <w:style w:type="paragraph" w:customStyle="1" w:styleId="Paragraph2">
    <w:name w:val="Paragraph 2"/>
    <w:basedOn w:val="Paragraph1"/>
    <w:uiPriority w:val="7"/>
    <w:unhideWhenUsed/>
    <w:qFormat/>
    <w:pPr>
      <w:ind w:left="475"/>
    </w:pPr>
  </w:style>
  <w:style w:type="paragraph" w:customStyle="1" w:styleId="Paragraph3">
    <w:name w:val="Paragraph 3"/>
    <w:basedOn w:val="Paragraph2"/>
    <w:uiPriority w:val="7"/>
    <w:unhideWhenUsed/>
    <w:qFormat/>
    <w:pPr>
      <w:ind w:left="950"/>
    </w:pPr>
  </w:style>
  <w:style w:type="paragraph" w:customStyle="1" w:styleId="Paragraph4">
    <w:name w:val="Paragraph 4"/>
    <w:basedOn w:val="Paragraph3"/>
    <w:uiPriority w:val="7"/>
    <w:unhideWhenUsed/>
    <w:qFormat/>
    <w:pPr>
      <w:ind w:left="1440"/>
    </w:pPr>
  </w:style>
  <w:style w:type="paragraph" w:customStyle="1" w:styleId="Paragraph5">
    <w:name w:val="Paragraph 5"/>
    <w:basedOn w:val="Paragraph4"/>
    <w:uiPriority w:val="7"/>
    <w:unhideWhenUsed/>
    <w:qFormat/>
    <w:pPr>
      <w:ind w:left="1915"/>
    </w:pPr>
  </w:style>
  <w:style w:type="paragraph" w:customStyle="1" w:styleId="Paragraph6">
    <w:name w:val="Paragraph 6"/>
    <w:basedOn w:val="Paragraph5"/>
    <w:uiPriority w:val="7"/>
    <w:unhideWhenUsed/>
    <w:pPr>
      <w:ind w:left="2880"/>
    </w:pPr>
  </w:style>
  <w:style w:type="paragraph" w:customStyle="1" w:styleId="Paragraph7">
    <w:name w:val="Paragraph 7"/>
    <w:basedOn w:val="Paragraph6"/>
    <w:uiPriority w:val="7"/>
    <w:unhideWhenUsed/>
    <w:pPr>
      <w:ind w:left="3355"/>
    </w:pPr>
  </w:style>
  <w:style w:type="paragraph" w:customStyle="1" w:styleId="Paragraph8">
    <w:name w:val="Paragraph 8"/>
    <w:basedOn w:val="Paragraph7"/>
    <w:uiPriority w:val="7"/>
    <w:unhideWhenUsed/>
    <w:pPr>
      <w:ind w:left="3830"/>
    </w:pPr>
  </w:style>
  <w:style w:type="paragraph" w:customStyle="1" w:styleId="Paragraph9">
    <w:name w:val="Paragraph 9"/>
    <w:basedOn w:val="Paragraph8"/>
    <w:uiPriority w:val="7"/>
    <w:unhideWhenUsed/>
    <w:pPr>
      <w:ind w:left="4320"/>
    </w:pPr>
  </w:style>
  <w:style w:type="character" w:customStyle="1" w:styleId="Heading6Char">
    <w:name w:val="Heading 6 Char"/>
    <w:basedOn w:val="DefaultParagraphFont"/>
    <w:link w:val="Heading6"/>
    <w:uiPriority w:val="1"/>
    <w:rPr>
      <w:rFonts w:asciiTheme="majorHAnsi" w:eastAsiaTheme="majorEastAsia" w:hAnsiTheme="majorHAnsi" w:cstheme="majorBidi"/>
      <w:b/>
      <w:i/>
      <w:iCs/>
      <w:sz w:val="26"/>
    </w:rPr>
  </w:style>
  <w:style w:type="character" w:customStyle="1" w:styleId="Heading8Char">
    <w:name w:val="Heading 8 Char"/>
    <w:basedOn w:val="DefaultParagraphFont"/>
    <w:link w:val="Heading8"/>
    <w:uiPriority w:val="1"/>
    <w:rPr>
      <w:rFonts w:ascii="Calibri" w:eastAsiaTheme="majorEastAsia" w:hAnsi="Calibri" w:cstheme="majorBidi"/>
      <w:b/>
      <w:szCs w:val="21"/>
    </w:rPr>
  </w:style>
  <w:style w:type="character" w:customStyle="1" w:styleId="Heading7Char">
    <w:name w:val="Heading 7 Char"/>
    <w:basedOn w:val="DefaultParagraphFont"/>
    <w:link w:val="Heading7"/>
    <w:uiPriority w:val="1"/>
    <w:rPr>
      <w:rFonts w:asciiTheme="majorHAnsi" w:eastAsiaTheme="majorEastAsia" w:hAnsiTheme="majorHAnsi" w:cstheme="majorBidi"/>
      <w:i/>
      <w:sz w:val="26"/>
    </w:rPr>
  </w:style>
  <w:style w:type="character" w:customStyle="1" w:styleId="Heading9Char">
    <w:name w:val="Heading 9 Char"/>
    <w:basedOn w:val="DefaultParagraphFont"/>
    <w:link w:val="Heading9"/>
    <w:uiPriority w:val="1"/>
    <w:rPr>
      <w:rFonts w:ascii="Calibri" w:eastAsiaTheme="majorEastAsia" w:hAnsi="Calibri" w:cstheme="majorBidi"/>
      <w:b/>
      <w:i/>
      <w:iCs/>
      <w:szCs w:val="21"/>
    </w:rPr>
  </w:style>
  <w:style w:type="paragraph" w:customStyle="1" w:styleId="Subsect1">
    <w:name w:val="Subsect 1"/>
    <w:basedOn w:val="Section"/>
    <w:next w:val="Block1"/>
    <w:uiPriority w:val="1"/>
    <w:qFormat/>
    <w:pPr>
      <w:outlineLvl w:val="6"/>
    </w:pPr>
    <w:rPr>
      <w:u w:val="single"/>
    </w:rPr>
  </w:style>
  <w:style w:type="paragraph" w:customStyle="1" w:styleId="Subsect2">
    <w:name w:val="Subsect 2"/>
    <w:basedOn w:val="Subsect1"/>
    <w:next w:val="Block1"/>
    <w:uiPriority w:val="1"/>
    <w:qFormat/>
    <w:pPr>
      <w:outlineLvl w:val="7"/>
    </w:pPr>
    <w:rPr>
      <w:i/>
    </w:rPr>
  </w:style>
  <w:style w:type="paragraph" w:customStyle="1" w:styleId="Subsect3">
    <w:name w:val="Subsect 3"/>
    <w:basedOn w:val="Subsect2"/>
    <w:next w:val="Block1"/>
    <w:uiPriority w:val="1"/>
    <w:qFormat/>
    <w:pPr>
      <w:outlineLvl w:val="8"/>
    </w:pPr>
    <w:rPr>
      <w:b w:val="0"/>
      <w:i w:val="0"/>
    </w:rPr>
  </w:style>
  <w:style w:type="table" w:customStyle="1" w:styleId="NormalTable9c653a56-a8c7-4797-aafc-bca1cb38aaba">
    <w:name w:val="Normal Table_9c653a56-a8c7-4797-aafc-bca1cb38aaba"/>
    <w:uiPriority w:val="99"/>
    <w:semiHidden/>
    <w:unhideWhenUsed/>
    <w:tblPr>
      <w:tblInd w:w="0" w:type="dxa"/>
      <w:tblCellMar>
        <w:top w:w="0" w:type="dxa"/>
        <w:left w:w="108" w:type="dxa"/>
        <w:bottom w:w="0" w:type="dxa"/>
        <w:right w:w="108" w:type="dxa"/>
      </w:tblCellMar>
    </w:tblPr>
  </w:style>
  <w:style w:type="table" w:styleId="TableGrid">
    <w:name w:val="Table Grid"/>
    <w:basedOn w:val="NormalTable9c653a56-a8c7-4797-aafc-bca1cb38aaba"/>
    <w:uiPriority w:val="3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CaptionBelowLeft">
    <w:name w:val="Image Caption Below Left"/>
    <w:basedOn w:val="Block1"/>
    <w:next w:val="Block1"/>
    <w:qFormat/>
    <w:pPr>
      <w:widowControl w:val="0"/>
    </w:pPr>
    <w:rPr>
      <w:b/>
    </w:rPr>
  </w:style>
  <w:style w:type="paragraph" w:customStyle="1" w:styleId="ImageCaptionBelowCenter">
    <w:name w:val="Image Caption Below Center"/>
    <w:basedOn w:val="ImageCaptionBelowLeft"/>
    <w:next w:val="Block1"/>
    <w:pPr>
      <w:jc w:val="center"/>
    </w:pPr>
  </w:style>
  <w:style w:type="paragraph" w:customStyle="1" w:styleId="ImageCaptionBelowRight">
    <w:name w:val="Image Caption Below Right"/>
    <w:basedOn w:val="ImageCaptionBelowLeft"/>
    <w:next w:val="Block1"/>
    <w:qFormat/>
    <w:pPr>
      <w:jc w:val="right"/>
    </w:pPr>
  </w:style>
  <w:style w:type="paragraph" w:customStyle="1" w:styleId="ImageRight">
    <w:name w:val="Image Right"/>
    <w:basedOn w:val="ImageLeft"/>
    <w:next w:val="Block1"/>
    <w:qFormat/>
    <w:pPr>
      <w:jc w:val="right"/>
    </w:pPr>
  </w:style>
  <w:style w:type="character" w:styleId="Hyperlink">
    <w:name w:val="Hyperlink"/>
    <w:basedOn w:val="DefaultParagraphFont"/>
    <w:uiPriority w:val="99"/>
    <w:unhideWhenUsed/>
    <w:rPr>
      <w:color w:val="4472C4"/>
      <w:u w:val="none"/>
    </w:rPr>
  </w:style>
  <w:style w:type="paragraph" w:customStyle="1" w:styleId="BlockCenter">
    <w:name w:val="Block Center"/>
    <w:basedOn w:val="Block1"/>
    <w:qFormat/>
    <w:pPr>
      <w:jc w:val="center"/>
    </w:pPr>
  </w:style>
  <w:style w:type="paragraph" w:styleId="BodyText">
    <w:name w:val="Body Text"/>
    <w:basedOn w:val="Normal"/>
    <w:link w:val="BodyTextChar"/>
    <w:uiPriority w:val="99"/>
    <w:semiHidden/>
  </w:style>
  <w:style w:type="character" w:customStyle="1" w:styleId="BodyTextChar">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ind w:left="360" w:hanging="360"/>
      <w:contextualSpacing/>
    </w:pPr>
  </w:style>
  <w:style w:type="paragraph" w:styleId="ListBullet">
    <w:name w:val="List Bullet"/>
    <w:basedOn w:val="Normal"/>
    <w:uiPriority w:val="99"/>
    <w:semiHidden/>
    <w:unhideWhenUsed/>
    <w:qFormat/>
    <w:pPr>
      <w:numPr>
        <w:numId w:val="1"/>
      </w:numPr>
      <w:contextualSpacing/>
    </w:pPr>
  </w:style>
  <w:style w:type="paragraph" w:styleId="ListContinue">
    <w:name w:val="List Continue"/>
    <w:basedOn w:val="Normal"/>
    <w:uiPriority w:val="99"/>
    <w:semiHidden/>
    <w:unhideWhenUsed/>
    <w:pPr>
      <w:ind w:left="360"/>
      <w:contextualSpacing/>
    </w:pPr>
  </w:style>
  <w:style w:type="paragraph" w:customStyle="1" w:styleId="Block1Center">
    <w:name w:val="Block 1 Center"/>
    <w:basedOn w:val="Block1"/>
    <w:qFormat/>
    <w:pPr>
      <w:jc w:val="center"/>
    </w:pPr>
  </w:style>
  <w:style w:type="paragraph" w:customStyle="1" w:styleId="Block2Center">
    <w:name w:val="Block 2 Center"/>
    <w:basedOn w:val="Block2"/>
    <w:qFormat/>
    <w:pPr>
      <w:jc w:val="center"/>
    </w:pPr>
  </w:style>
  <w:style w:type="paragraph" w:customStyle="1" w:styleId="Block3Center">
    <w:name w:val="Block 3 Center"/>
    <w:basedOn w:val="Block3"/>
    <w:qFormat/>
    <w:pPr>
      <w:jc w:val="center"/>
    </w:pPr>
  </w:style>
  <w:style w:type="paragraph" w:customStyle="1" w:styleId="Block4Center">
    <w:name w:val="Block 4 Center"/>
    <w:basedOn w:val="Block4"/>
    <w:qFormat/>
    <w:pPr>
      <w:jc w:val="center"/>
    </w:pPr>
  </w:style>
  <w:style w:type="paragraph" w:customStyle="1" w:styleId="Block5Center">
    <w:name w:val="Block 5 Center"/>
    <w:basedOn w:val="Block5"/>
    <w:qFormat/>
    <w:pPr>
      <w:jc w:val="center"/>
    </w:pPr>
  </w:style>
  <w:style w:type="paragraph" w:customStyle="1" w:styleId="Block6Center">
    <w:name w:val="Block 6 Center"/>
    <w:basedOn w:val="Block6"/>
    <w:qFormat/>
    <w:pPr>
      <w:jc w:val="center"/>
    </w:pPr>
  </w:style>
  <w:style w:type="paragraph" w:customStyle="1" w:styleId="Block7Center">
    <w:name w:val="Block 7 Center"/>
    <w:basedOn w:val="Block7"/>
    <w:qFormat/>
    <w:pPr>
      <w:jc w:val="center"/>
    </w:pPr>
  </w:style>
  <w:style w:type="paragraph" w:customStyle="1" w:styleId="Block8Center">
    <w:name w:val="Block 8 Center"/>
    <w:basedOn w:val="Block8"/>
    <w:qFormat/>
    <w:pPr>
      <w:jc w:val="center"/>
    </w:pPr>
  </w:style>
  <w:style w:type="paragraph" w:customStyle="1" w:styleId="Block9Center">
    <w:name w:val="Block 9 Center"/>
    <w:basedOn w:val="Block9"/>
    <w:qFormat/>
    <w:pPr>
      <w:jc w:val="center"/>
    </w:pPr>
  </w:style>
  <w:style w:type="paragraph" w:styleId="ListNumber">
    <w:name w:val="List Number"/>
    <w:basedOn w:val="Normal"/>
    <w:uiPriority w:val="99"/>
    <w:semiHidden/>
    <w:unhideWhenUsed/>
    <w:pPr>
      <w:numPr>
        <w:numId w:val="2"/>
      </w:numPr>
      <w:contextualSpacing/>
    </w:pPr>
  </w:style>
  <w:style w:type="paragraph" w:styleId="TableofFigures">
    <w:name w:val="table of figures"/>
    <w:basedOn w:val="Normal"/>
    <w:next w:val="Normal"/>
    <w:uiPriority w:val="99"/>
    <w:semiHidden/>
    <w:unhideWhenUsed/>
    <w:pPr>
      <w:spacing w:after="0"/>
    </w:pPr>
  </w:style>
  <w:style w:type="paragraph" w:styleId="Subtitle">
    <w:name w:val="Subtitle"/>
    <w:basedOn w:val="Normal"/>
    <w:next w:val="Normal"/>
    <w:link w:val="SubtitleChar"/>
    <w:uiPriority w:val="11"/>
    <w:qFormat/>
    <w:pPr>
      <w:numPr>
        <w:ilvl w:val="1"/>
      </w:numPr>
      <w:spacing w:after="160"/>
    </w:pPr>
    <w:rPr>
      <w:rFonts w:eastAsiaTheme="minorEastAsia"/>
      <w:color w:val="5A5A5A"/>
      <w:spacing w:val="15"/>
      <w:sz w:val="22"/>
      <w:szCs w:val="22"/>
    </w:rPr>
  </w:style>
  <w:style w:type="character" w:customStyle="1" w:styleId="SubtitleChar">
    <w:name w:val="Subtitle Char"/>
    <w:basedOn w:val="DefaultParagraphFont"/>
    <w:link w:val="Subtitle"/>
    <w:uiPriority w:val="87"/>
    <w:semiHidden/>
    <w:rPr>
      <w:rFonts w:ascii="Calibri" w:eastAsiaTheme="minorEastAsia" w:hAnsi="Calibri"/>
      <w:color w:val="5A5A5A"/>
      <w:spacing w:val="15"/>
      <w:sz w:val="22"/>
      <w:szCs w:val="22"/>
    </w:rPr>
  </w:style>
  <w:style w:type="paragraph" w:styleId="Footer">
    <w:name w:val="footer"/>
    <w:basedOn w:val="Normal"/>
    <w:link w:val="FooterChar"/>
    <w:uiPriority w:val="99"/>
    <w:semiHidden/>
    <w:unhideWhenUsed/>
    <w:pPr>
      <w:tabs>
        <w:tab w:val="center" w:pos="4680"/>
        <w:tab w:val="right" w:pos="9360"/>
      </w:tabs>
      <w:spacing w:before="0" w:after="0"/>
    </w:pPr>
  </w:style>
  <w:style w:type="character" w:customStyle="1" w:styleId="FooterChar">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sz="2" w:space="10" w:color="4472C4"/>
        <w:left w:val="single" w:sz="2" w:space="10" w:color="4472C4"/>
        <w:bottom w:val="single" w:sz="2" w:space="10" w:color="4472C4"/>
        <w:right w:val="single" w:sz="2" w:space="10" w:color="4472C4"/>
      </w:pBdr>
      <w:ind w:left="1152" w:right="1152"/>
    </w:pPr>
    <w:rPr>
      <w:rFonts w:eastAsiaTheme="minorEastAsia"/>
      <w:i/>
      <w:iCs/>
      <w:color w:val="4472C4"/>
    </w:rPr>
  </w:style>
  <w:style w:type="paragraph" w:styleId="BodyText2">
    <w:name w:val="Body Text 2"/>
    <w:basedOn w:val="Normal"/>
    <w:link w:val="BodyText2Char"/>
    <w:uiPriority w:val="99"/>
    <w:semiHidden/>
    <w:pPr>
      <w:spacing w:line="480" w:lineRule="auto"/>
    </w:pPr>
  </w:style>
  <w:style w:type="character" w:customStyle="1" w:styleId="BodyText2Char">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rPr>
      <w:sz w:val="16"/>
      <w:szCs w:val="16"/>
    </w:rPr>
  </w:style>
  <w:style w:type="character" w:customStyle="1" w:styleId="BodyText3Char">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ind w:firstLine="360"/>
    </w:pPr>
  </w:style>
  <w:style w:type="character" w:customStyle="1" w:styleId="BodyTextFirstIndentChar">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ind w:left="360"/>
    </w:pPr>
  </w:style>
  <w:style w:type="character" w:customStyle="1" w:styleId="BodyTextIndentChar">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ind w:firstLine="360"/>
    </w:pPr>
  </w:style>
  <w:style w:type="character" w:customStyle="1" w:styleId="BodyTextFirstIndent2Char">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spacing w:line="480" w:lineRule="auto"/>
      <w:ind w:left="360"/>
    </w:pPr>
  </w:style>
  <w:style w:type="character" w:customStyle="1" w:styleId="BodyTextIndent2Char">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ind w:left="360"/>
    </w:pPr>
    <w:rPr>
      <w:sz w:val="16"/>
      <w:szCs w:val="16"/>
    </w:rPr>
  </w:style>
  <w:style w:type="character" w:customStyle="1" w:styleId="BodyTextIndent3Char">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spacing w:before="0" w:after="200"/>
    </w:pPr>
    <w:rPr>
      <w:i/>
      <w:iCs/>
      <w:color w:val="44546A"/>
      <w:sz w:val="18"/>
      <w:szCs w:val="18"/>
    </w:rPr>
  </w:style>
  <w:style w:type="paragraph" w:styleId="Closing">
    <w:name w:val="Closing"/>
    <w:basedOn w:val="Normal"/>
    <w:link w:val="ClosingChar"/>
    <w:uiPriority w:val="99"/>
    <w:semiHidden/>
    <w:pPr>
      <w:spacing w:before="0" w:after="0"/>
      <w:ind w:left="4320"/>
    </w:pPr>
  </w:style>
  <w:style w:type="character" w:customStyle="1" w:styleId="ClosingChar">
    <w:name w:val="Closing Char"/>
    <w:basedOn w:val="DefaultParagraphFont"/>
    <w:link w:val="Closing"/>
    <w:uiPriority w:val="99"/>
    <w:semiHidden/>
    <w:rPr>
      <w:rFonts w:ascii="Calibri" w:hAnsi="Calibri"/>
      <w:sz w:val="20"/>
    </w:rPr>
  </w:style>
  <w:style w:type="paragraph" w:customStyle="1" w:styleId="CommentText1">
    <w:name w:val="Comment Text1"/>
    <w:basedOn w:val="Normal"/>
    <w:link w:val="CommentTextChar"/>
    <w:uiPriority w:val="99"/>
    <w:semiHidden/>
    <w:unhideWhenUsed/>
    <w:rPr>
      <w:szCs w:val="20"/>
    </w:rPr>
  </w:style>
  <w:style w:type="character" w:customStyle="1" w:styleId="CommentTextChar">
    <w:name w:val="Comment Text Char"/>
    <w:basedOn w:val="DefaultParagraphFont"/>
    <w:link w:val="CommentText1"/>
    <w:uiPriority w:val="99"/>
    <w:semiHidden/>
    <w:rPr>
      <w:rFonts w:ascii="Calibri" w:hAnsi="Calibri"/>
      <w:sz w:val="20"/>
      <w:szCs w:val="20"/>
    </w:rPr>
  </w:style>
  <w:style w:type="paragraph" w:customStyle="1" w:styleId="CommentSubject1">
    <w:name w:val="Comment Subject1"/>
    <w:basedOn w:val="CommentText1"/>
    <w:next w:val="CommentText1"/>
    <w:link w:val="CommentSubjectChar"/>
    <w:uiPriority w:val="99"/>
    <w:semiHidden/>
    <w:unhideWhenUsed/>
    <w:rPr>
      <w:b/>
      <w:bCs/>
    </w:rPr>
  </w:style>
  <w:style w:type="character" w:customStyle="1" w:styleId="CommentSubjectChar">
    <w:name w:val="Comment Subject Char"/>
    <w:basedOn w:val="CommentTextChar"/>
    <w:link w:val="CommentSubject1"/>
    <w:uiPriority w:val="99"/>
    <w:semiHidden/>
    <w:rPr>
      <w:rFonts w:ascii="Calibri" w:hAnsi="Calibri"/>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ascii="Calibri" w:hAnsi="Calibri"/>
      <w:sz w:val="20"/>
    </w:rPr>
  </w:style>
  <w:style w:type="character" w:customStyle="1" w:styleId="BookTitle1">
    <w:name w:val="Book Title1"/>
    <w:basedOn w:val="DefaultParagraphFont"/>
    <w:uiPriority w:val="84"/>
    <w:semiHidden/>
    <w:unhideWhenUsed/>
    <w:qFormat/>
    <w:rPr>
      <w:b/>
      <w:bCs/>
      <w:i/>
      <w:iCs/>
      <w:spacing w:val="5"/>
    </w:rPr>
  </w:style>
  <w:style w:type="character" w:customStyle="1" w:styleId="CommentReference1">
    <w:name w:val="Comment Reference1"/>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spacing w:before="0" w:after="0"/>
    </w:pPr>
    <w:rPr>
      <w:rFonts w:cs="Calibri"/>
      <w:sz w:val="16"/>
      <w:szCs w:val="16"/>
    </w:rPr>
  </w:style>
  <w:style w:type="character" w:customStyle="1" w:styleId="DocumentMapChar">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spacing w:before="0" w:after="0"/>
    </w:pPr>
  </w:style>
  <w:style w:type="character" w:customStyle="1" w:styleId="E-mailSignatureChar">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pPr>
    <w:rPr>
      <w:szCs w:val="20"/>
    </w:rPr>
  </w:style>
  <w:style w:type="character" w:customStyle="1" w:styleId="EndnoteTextChar">
    <w:name w:val="Endnote Text Char"/>
    <w:basedOn w:val="DefaultParagraphFont"/>
    <w:link w:val="EndnoteText"/>
    <w:uiPriority w:val="99"/>
    <w:semiHidden/>
    <w:rPr>
      <w:rFonts w:ascii="Calibri" w:hAnsi="Calibri"/>
      <w:sz w:val="20"/>
      <w:szCs w:val="20"/>
    </w:rPr>
  </w:style>
  <w:style w:type="paragraph" w:customStyle="1" w:styleId="EnvelopeAddress1">
    <w:name w:val="Envelope Address1"/>
    <w:basedOn w:val="Normal"/>
    <w:uiPriority w:val="99"/>
    <w:semiHidden/>
    <w:unhideWhenUsed/>
    <w:pPr>
      <w:framePr w:dropCap="none" w:lines="1" w:w="7920" w:h="1980" w:hRule="exact" w:hSpace="180" w:wrap="auto" w:hAnchor="page" w:xAlign="center" w:yAlign="bottom"/>
      <w:spacing w:before="0" w:after="0"/>
      <w:ind w:left="2880"/>
    </w:pPr>
    <w:rPr>
      <w:rFonts w:asciiTheme="majorHAnsi" w:eastAsiaTheme="majorEastAsia" w:hAnsiTheme="majorHAnsi" w:cstheme="majorBidi"/>
      <w:sz w:val="24"/>
    </w:rPr>
  </w:style>
  <w:style w:type="paragraph" w:customStyle="1" w:styleId="EnvelopeReturn1">
    <w:name w:val="Envelope Return1"/>
    <w:basedOn w:val="Normal"/>
    <w:uiPriority w:val="99"/>
    <w:semiHidden/>
    <w:unhideWhenUsed/>
    <w:pPr>
      <w:spacing w:before="0"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tabs>
        <w:tab w:val="center" w:pos="4680"/>
        <w:tab w:val="right" w:pos="9360"/>
      </w:tabs>
      <w:spacing w:before="0" w:after="0"/>
    </w:pPr>
  </w:style>
  <w:style w:type="character" w:customStyle="1" w:styleId="HeaderChar">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spacing w:before="0" w:after="0"/>
    </w:pPr>
  </w:style>
  <w:style w:type="character" w:customStyle="1" w:styleId="NoteHeadingChar">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qFormat/>
    <w:pPr>
      <w:ind w:left="1080"/>
      <w:contextualSpacing/>
    </w:pPr>
  </w:style>
  <w:style w:type="paragraph" w:styleId="ListContinue4">
    <w:name w:val="List Continue 4"/>
    <w:basedOn w:val="Normal"/>
    <w:uiPriority w:val="99"/>
    <w:semiHidden/>
    <w:unhideWhenUsed/>
    <w:qFormat/>
    <w:pPr>
      <w:ind w:left="1440"/>
      <w:contextualSpacing/>
    </w:pPr>
  </w:style>
  <w:style w:type="paragraph" w:styleId="ListContinue5">
    <w:name w:val="List Continue 5"/>
    <w:basedOn w:val="Normal"/>
    <w:uiPriority w:val="99"/>
    <w:semiHidden/>
    <w:unhideWhenUsed/>
    <w:qFormat/>
    <w:pPr>
      <w:ind w:left="1800"/>
      <w:contextualSpacing/>
    </w:pPr>
  </w:style>
  <w:style w:type="paragraph" w:styleId="ListNumber2">
    <w:name w:val="List Number 2"/>
    <w:basedOn w:val="Normal"/>
    <w:uiPriority w:val="99"/>
    <w:semiHidden/>
    <w:unhideWhenUsed/>
    <w:qFormat/>
    <w:pPr>
      <w:numPr>
        <w:numId w:val="7"/>
      </w:numPr>
      <w:contextualSpacing/>
    </w:pPr>
  </w:style>
  <w:style w:type="paragraph" w:styleId="ListNumber3">
    <w:name w:val="List Number 3"/>
    <w:basedOn w:val="Normal"/>
    <w:uiPriority w:val="99"/>
    <w:semiHidden/>
    <w:unhideWhenUsed/>
    <w:qFormat/>
    <w:pPr>
      <w:numPr>
        <w:numId w:val="8"/>
      </w:numPr>
      <w:contextualSpacing/>
    </w:pPr>
  </w:style>
  <w:style w:type="paragraph" w:styleId="ListNumber4">
    <w:name w:val="List Number 4"/>
    <w:basedOn w:val="Normal"/>
    <w:uiPriority w:val="99"/>
    <w:semiHidden/>
    <w:unhideWhenUsed/>
    <w:qFormat/>
    <w:pPr>
      <w:numPr>
        <w:numId w:val="9"/>
      </w:numPr>
      <w:contextualSpacing/>
    </w:pPr>
  </w:style>
  <w:style w:type="paragraph" w:styleId="ListNumber5">
    <w:name w:val="List Number 5"/>
    <w:basedOn w:val="Normal"/>
    <w:uiPriority w:val="99"/>
    <w:semiHidden/>
    <w:unhideWhenUsed/>
    <w:qFormat/>
    <w:pPr>
      <w:numPr>
        <w:numId w:val="10"/>
      </w:numPr>
      <w:contextualSpacing/>
    </w:pPr>
  </w:style>
  <w:style w:type="paragraph" w:customStyle="1" w:styleId="TOCHeading1">
    <w:name w:val="TOC Heading1"/>
    <w:basedOn w:val="Heading1"/>
    <w:next w:val="Normal"/>
    <w:uiPriority w:val="69"/>
    <w:semiHidden/>
    <w:unhideWhenUsed/>
    <w:qFormat/>
    <w:pP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spacing w:before="120"/>
    </w:pPr>
    <w:rPr>
      <w:rFonts w:eastAsiaTheme="majorEastAsia" w:cstheme="majorBidi"/>
      <w:b/>
      <w:bCs/>
      <w:sz w:val="24"/>
    </w:rPr>
  </w:style>
  <w:style w:type="paragraph" w:styleId="IndexHeading">
    <w:name w:val="index heading"/>
    <w:basedOn w:val="Normal"/>
    <w:next w:val="Index1"/>
    <w:uiPriority w:val="99"/>
    <w:semiHidden/>
    <w:unhideWhenUsed/>
    <w:qFormat/>
    <w:rPr>
      <w:rFonts w:eastAsiaTheme="majorEastAsia" w:cstheme="majorBidi"/>
      <w:b/>
      <w:bCs/>
    </w:rPr>
  </w:style>
  <w:style w:type="paragraph" w:styleId="TableofAuthorities">
    <w:name w:val="table of authorities"/>
    <w:basedOn w:val="Normal"/>
    <w:next w:val="Normal"/>
    <w:uiPriority w:val="99"/>
    <w:semiHidden/>
    <w:unhideWhenUsed/>
    <w:pPr>
      <w:spacing w:after="0"/>
      <w:ind w:left="200" w:hanging="200"/>
    </w:pPr>
  </w:style>
  <w:style w:type="table" w:customStyle="1" w:styleId="NormalTable8d3cd404-fe05-4408-a8d9-027c2d590da1">
    <w:name w:val="Normal Table_8d3cd404-fe05-4408-a8d9-027c2d590da1"/>
    <w:uiPriority w:val="99"/>
    <w:semiHidden/>
    <w:unhideWhenUsed/>
    <w:tblPr>
      <w:tblInd w:w="0" w:type="dxa"/>
      <w:tblCellMar>
        <w:top w:w="0" w:type="dxa"/>
        <w:left w:w="108" w:type="dxa"/>
        <w:bottom w:w="0" w:type="dxa"/>
        <w:right w:w="108" w:type="dxa"/>
      </w:tblCellMar>
    </w:tblPr>
  </w:style>
  <w:style w:type="table" w:customStyle="1" w:styleId="Table104a77b40-e371-4df1-bc8d-6081d24bcc2c">
    <w:name w:val="Table 1_04a77b40-e371-4df1-bc8d-6081d24bcc2c"/>
    <w:basedOn w:val="NormalTable8d3cd404-fe05-4408-a8d9-027c2d590da1"/>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
    <w:name w:val="Table 2"/>
    <w:basedOn w:val="Table104a77b40-e371-4df1-bc8d-6081d24bcc2c"/>
    <w:uiPriority w:val="99"/>
    <w:tblPr>
      <w:tblInd w:w="590" w:type="dxa"/>
    </w:tblPr>
  </w:style>
  <w:style w:type="table" w:customStyle="1" w:styleId="NormalTable54f6d34b-3156-418d-bc1e-62447e43a4ec">
    <w:name w:val="Normal Table_54f6d34b-3156-418d-bc1e-62447e43a4ec"/>
    <w:uiPriority w:val="99"/>
    <w:semiHidden/>
    <w:unhideWhenUsed/>
    <w:tblPr>
      <w:tblInd w:w="0" w:type="dxa"/>
      <w:tblCellMar>
        <w:top w:w="0" w:type="dxa"/>
        <w:left w:w="108" w:type="dxa"/>
        <w:bottom w:w="0" w:type="dxa"/>
        <w:right w:w="108" w:type="dxa"/>
      </w:tblCellMar>
    </w:tblPr>
  </w:style>
  <w:style w:type="table" w:customStyle="1" w:styleId="Table1170dc6dc-9fef-470c-8bf8-013a4f93cf1b">
    <w:name w:val="Table 1_170dc6dc-9fef-470c-8bf8-013a4f93cf1b"/>
    <w:basedOn w:val="NormalTable54f6d34b-3156-418d-bc1e-62447e43a4ec"/>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8142d7bb-db3a-4f14-9cac-1fd95b00f0a9">
    <w:name w:val="Table 2_8142d7bb-db3a-4f14-9cac-1fd95b00f0a9"/>
    <w:basedOn w:val="Table1170dc6dc-9fef-470c-8bf8-013a4f93cf1b"/>
    <w:uiPriority w:val="99"/>
    <w:tblPr>
      <w:tblInd w:w="590" w:type="dxa"/>
    </w:tblPr>
  </w:style>
  <w:style w:type="table" w:customStyle="1" w:styleId="Table3">
    <w:name w:val="Table 3"/>
    <w:basedOn w:val="Table28142d7bb-db3a-4f14-9cac-1fd95b00f0a9"/>
    <w:uiPriority w:val="99"/>
    <w:tblPr>
      <w:tblInd w:w="1066" w:type="dxa"/>
    </w:tblPr>
  </w:style>
  <w:style w:type="table" w:customStyle="1" w:styleId="NormalTable2c10a80b-d02d-4a1f-949b-43d11ce7be31">
    <w:name w:val="Normal Table_2c10a80b-d02d-4a1f-949b-43d11ce7be31"/>
    <w:uiPriority w:val="99"/>
    <w:semiHidden/>
    <w:unhideWhenUsed/>
    <w:tblPr>
      <w:tblInd w:w="0" w:type="dxa"/>
      <w:tblCellMar>
        <w:top w:w="0" w:type="dxa"/>
        <w:left w:w="108" w:type="dxa"/>
        <w:bottom w:w="0" w:type="dxa"/>
        <w:right w:w="108" w:type="dxa"/>
      </w:tblCellMar>
    </w:tblPr>
  </w:style>
  <w:style w:type="table" w:customStyle="1" w:styleId="Table164a3c383-6c24-4f03-8c6e-dd001f282541">
    <w:name w:val="Table 1_64a3c383-6c24-4f03-8c6e-dd001f282541"/>
    <w:basedOn w:val="NormalTable2c10a80b-d02d-4a1f-949b-43d11ce7be31"/>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7699b4e2-9808-4a60-9786-04ed352074b0">
    <w:name w:val="Table 2_7699b4e2-9808-4a60-9786-04ed352074b0"/>
    <w:basedOn w:val="Table164a3c383-6c24-4f03-8c6e-dd001f282541"/>
    <w:uiPriority w:val="99"/>
    <w:tblPr>
      <w:tblInd w:w="590" w:type="dxa"/>
    </w:tblPr>
  </w:style>
  <w:style w:type="table" w:customStyle="1" w:styleId="Table389233aeb-c571-4ca0-8164-6ece5482ec7c">
    <w:name w:val="Table 3_89233aeb-c571-4ca0-8164-6ece5482ec7c"/>
    <w:basedOn w:val="Table27699b4e2-9808-4a60-9786-04ed352074b0"/>
    <w:uiPriority w:val="99"/>
    <w:tblPr>
      <w:tblInd w:w="1066" w:type="dxa"/>
    </w:tblPr>
  </w:style>
  <w:style w:type="table" w:customStyle="1" w:styleId="Table4">
    <w:name w:val="Table 4"/>
    <w:basedOn w:val="Table389233aeb-c571-4ca0-8164-6ece5482ec7c"/>
    <w:uiPriority w:val="99"/>
    <w:tblPr>
      <w:tblInd w:w="1555" w:type="dxa"/>
    </w:tblPr>
  </w:style>
  <w:style w:type="table" w:customStyle="1" w:styleId="NormalTable4fd396ab-78c6-4a44-bdf1-febbaaf46a8f">
    <w:name w:val="Normal Table_4fd396ab-78c6-4a44-bdf1-febbaaf46a8f"/>
    <w:uiPriority w:val="99"/>
    <w:semiHidden/>
    <w:unhideWhenUsed/>
    <w:tblPr>
      <w:tblInd w:w="0" w:type="dxa"/>
      <w:tblCellMar>
        <w:top w:w="0" w:type="dxa"/>
        <w:left w:w="108" w:type="dxa"/>
        <w:bottom w:w="0" w:type="dxa"/>
        <w:right w:w="108" w:type="dxa"/>
      </w:tblCellMar>
    </w:tblPr>
  </w:style>
  <w:style w:type="table" w:customStyle="1" w:styleId="Table168e595c8-81f8-4e4c-84a1-26cf957a824a">
    <w:name w:val="Table 1_68e595c8-81f8-4e4c-84a1-26cf957a824a"/>
    <w:basedOn w:val="NormalTable4fd396ab-78c6-4a44-bdf1-febbaaf46a8f"/>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c6a6d436-4d94-4903-8bf3-6c2a5983eea0">
    <w:name w:val="Table 2_c6a6d436-4d94-4903-8bf3-6c2a5983eea0"/>
    <w:basedOn w:val="Table168e595c8-81f8-4e4c-84a1-26cf957a824a"/>
    <w:uiPriority w:val="99"/>
    <w:tblPr>
      <w:tblInd w:w="590" w:type="dxa"/>
    </w:tblPr>
  </w:style>
  <w:style w:type="table" w:customStyle="1" w:styleId="Table3010d55e4-75af-43f0-9044-cf055331a3e6">
    <w:name w:val="Table 3_010d55e4-75af-43f0-9044-cf055331a3e6"/>
    <w:basedOn w:val="Table2c6a6d436-4d94-4903-8bf3-6c2a5983eea0"/>
    <w:uiPriority w:val="99"/>
    <w:tblPr>
      <w:tblInd w:w="1066" w:type="dxa"/>
    </w:tblPr>
  </w:style>
  <w:style w:type="table" w:customStyle="1" w:styleId="Table4c57a0821-020d-480b-8cce-e07225b48c77">
    <w:name w:val="Table 4_c57a0821-020d-480b-8cce-e07225b48c77"/>
    <w:basedOn w:val="Table3010d55e4-75af-43f0-9044-cf055331a3e6"/>
    <w:uiPriority w:val="99"/>
    <w:tblPr>
      <w:tblInd w:w="1555" w:type="dxa"/>
    </w:tblPr>
  </w:style>
  <w:style w:type="table" w:customStyle="1" w:styleId="Table5">
    <w:name w:val="Table 5"/>
    <w:basedOn w:val="Table4c57a0821-020d-480b-8cce-e07225b48c77"/>
    <w:uiPriority w:val="99"/>
    <w:tblPr>
      <w:tblInd w:w="2030" w:type="dxa"/>
    </w:tblPr>
  </w:style>
  <w:style w:type="table" w:customStyle="1" w:styleId="NormalTablee294e887-4c49-427b-938d-04918e7fc1cc">
    <w:name w:val="Normal Table_e294e887-4c49-427b-938d-04918e7fc1cc"/>
    <w:uiPriority w:val="99"/>
    <w:semiHidden/>
    <w:unhideWhenUsed/>
    <w:tblPr>
      <w:tblInd w:w="0" w:type="dxa"/>
      <w:tblCellMar>
        <w:top w:w="0" w:type="dxa"/>
        <w:left w:w="108" w:type="dxa"/>
        <w:bottom w:w="0" w:type="dxa"/>
        <w:right w:w="108" w:type="dxa"/>
      </w:tblCellMar>
    </w:tblPr>
  </w:style>
  <w:style w:type="table" w:customStyle="1" w:styleId="Table1ac6eb4db-086b-4615-b56b-815a6445445c">
    <w:name w:val="Table 1_ac6eb4db-086b-4615-b56b-815a6445445c"/>
    <w:basedOn w:val="NormalTablee294e887-4c49-427b-938d-04918e7fc1cc"/>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2faa944b-8b10-477c-a14a-1f8858cd0e27">
    <w:name w:val="Table 2_2faa944b-8b10-477c-a14a-1f8858cd0e27"/>
    <w:basedOn w:val="Table1ac6eb4db-086b-4615-b56b-815a6445445c"/>
    <w:uiPriority w:val="99"/>
    <w:tblPr>
      <w:tblInd w:w="590" w:type="dxa"/>
    </w:tblPr>
  </w:style>
  <w:style w:type="table" w:customStyle="1" w:styleId="Table3cdb7d489-52f4-4993-a974-90423ae603c4">
    <w:name w:val="Table 3_cdb7d489-52f4-4993-a974-90423ae603c4"/>
    <w:basedOn w:val="Table22faa944b-8b10-477c-a14a-1f8858cd0e27"/>
    <w:uiPriority w:val="99"/>
    <w:tblPr>
      <w:tblInd w:w="1066" w:type="dxa"/>
    </w:tblPr>
  </w:style>
  <w:style w:type="table" w:customStyle="1" w:styleId="Table43924dfb9-fb9d-4446-bc87-11b5024f8e86">
    <w:name w:val="Table 4_3924dfb9-fb9d-4446-bc87-11b5024f8e86"/>
    <w:basedOn w:val="Table3cdb7d489-52f4-4993-a974-90423ae603c4"/>
    <w:uiPriority w:val="99"/>
    <w:tblPr>
      <w:tblInd w:w="1555" w:type="dxa"/>
    </w:tblPr>
  </w:style>
  <w:style w:type="table" w:customStyle="1" w:styleId="Table5e710f4d7-e56c-45df-b38f-6eea6a2e6318">
    <w:name w:val="Table 5_e710f4d7-e56c-45df-b38f-6eea6a2e6318"/>
    <w:basedOn w:val="Table43924dfb9-fb9d-4446-bc87-11b5024f8e86"/>
    <w:uiPriority w:val="99"/>
    <w:tblPr>
      <w:tblInd w:w="2030" w:type="dxa"/>
    </w:tblPr>
  </w:style>
  <w:style w:type="table" w:customStyle="1" w:styleId="Table6">
    <w:name w:val="Table 6"/>
    <w:basedOn w:val="Table5e710f4d7-e56c-45df-b38f-6eea6a2e6318"/>
    <w:uiPriority w:val="99"/>
    <w:tblPr>
      <w:tblInd w:w="2506" w:type="dxa"/>
      <w:tblCellMar>
        <w:left w:w="115" w:type="dxa"/>
        <w:right w:w="115" w:type="dxa"/>
      </w:tblCellMar>
    </w:tblPr>
  </w:style>
  <w:style w:type="table" w:customStyle="1" w:styleId="NormalTable53ce42b2-6655-4248-bb68-2f5a2bd592df">
    <w:name w:val="Normal Table_53ce42b2-6655-4248-bb68-2f5a2bd592df"/>
    <w:uiPriority w:val="99"/>
    <w:semiHidden/>
    <w:unhideWhenUsed/>
    <w:tblPr>
      <w:tblInd w:w="0" w:type="dxa"/>
      <w:tblCellMar>
        <w:top w:w="0" w:type="dxa"/>
        <w:left w:w="108" w:type="dxa"/>
        <w:bottom w:w="0" w:type="dxa"/>
        <w:right w:w="108" w:type="dxa"/>
      </w:tblCellMar>
    </w:tblPr>
  </w:style>
  <w:style w:type="table" w:customStyle="1" w:styleId="Table1df2867b0-ddf4-4bb9-bae2-86d2d48dc90a">
    <w:name w:val="Table 1_df2867b0-ddf4-4bb9-bae2-86d2d48dc90a"/>
    <w:basedOn w:val="NormalTable53ce42b2-6655-4248-bb68-2f5a2bd592df"/>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9b831eed-1eec-48c0-8aa2-1d5e507cbb19">
    <w:name w:val="Table 2_9b831eed-1eec-48c0-8aa2-1d5e507cbb19"/>
    <w:basedOn w:val="Table1df2867b0-ddf4-4bb9-bae2-86d2d48dc90a"/>
    <w:uiPriority w:val="99"/>
    <w:tblPr>
      <w:tblInd w:w="590" w:type="dxa"/>
    </w:tblPr>
  </w:style>
  <w:style w:type="table" w:customStyle="1" w:styleId="Table31ee778a5-c022-4162-b632-162803700e4d">
    <w:name w:val="Table 3_1ee778a5-c022-4162-b632-162803700e4d"/>
    <w:basedOn w:val="Table29b831eed-1eec-48c0-8aa2-1d5e507cbb19"/>
    <w:uiPriority w:val="99"/>
    <w:tblPr>
      <w:tblInd w:w="1066" w:type="dxa"/>
    </w:tblPr>
  </w:style>
  <w:style w:type="table" w:customStyle="1" w:styleId="Table42fe41662-ae17-43f3-82c8-63039ea59fe6">
    <w:name w:val="Table 4_2fe41662-ae17-43f3-82c8-63039ea59fe6"/>
    <w:basedOn w:val="Table31ee778a5-c022-4162-b632-162803700e4d"/>
    <w:uiPriority w:val="99"/>
    <w:tblPr>
      <w:tblInd w:w="1555" w:type="dxa"/>
    </w:tblPr>
  </w:style>
  <w:style w:type="table" w:customStyle="1" w:styleId="Table50a8315e9-d210-4646-950c-731f6b485e3c">
    <w:name w:val="Table 5_0a8315e9-d210-4646-950c-731f6b485e3c"/>
    <w:basedOn w:val="Table42fe41662-ae17-43f3-82c8-63039ea59fe6"/>
    <w:uiPriority w:val="99"/>
    <w:tblPr>
      <w:tblInd w:w="2030" w:type="dxa"/>
    </w:tblPr>
  </w:style>
  <w:style w:type="table" w:customStyle="1" w:styleId="Table686b0aa9f-42d1-4bb2-a5ae-79584fbacb5c">
    <w:name w:val="Table 6_86b0aa9f-42d1-4bb2-a5ae-79584fbacb5c"/>
    <w:basedOn w:val="Table50a8315e9-d210-4646-950c-731f6b485e3c"/>
    <w:uiPriority w:val="99"/>
    <w:tblPr>
      <w:tblInd w:w="2506" w:type="dxa"/>
      <w:tblCellMar>
        <w:left w:w="115" w:type="dxa"/>
        <w:right w:w="115" w:type="dxa"/>
      </w:tblCellMar>
    </w:tblPr>
  </w:style>
  <w:style w:type="table" w:customStyle="1" w:styleId="Table7">
    <w:name w:val="Table 7"/>
    <w:basedOn w:val="Table686b0aa9f-42d1-4bb2-a5ae-79584fbacb5c"/>
    <w:uiPriority w:val="99"/>
    <w:tblPr>
      <w:tblInd w:w="2995" w:type="dxa"/>
    </w:tblPr>
  </w:style>
  <w:style w:type="table" w:customStyle="1" w:styleId="NormalTablebeab0125-f966-40db-9eed-d1dc2a5b384f">
    <w:name w:val="Normal Table_beab0125-f966-40db-9eed-d1dc2a5b384f"/>
    <w:uiPriority w:val="99"/>
    <w:semiHidden/>
    <w:unhideWhenUsed/>
    <w:tblPr>
      <w:tblInd w:w="0" w:type="dxa"/>
      <w:tblCellMar>
        <w:top w:w="0" w:type="dxa"/>
        <w:left w:w="108" w:type="dxa"/>
        <w:bottom w:w="0" w:type="dxa"/>
        <w:right w:w="108" w:type="dxa"/>
      </w:tblCellMar>
    </w:tblPr>
  </w:style>
  <w:style w:type="table" w:customStyle="1" w:styleId="Table18dfd2aa3-7961-4d24-85af-cb20191f4148">
    <w:name w:val="Table 1_8dfd2aa3-7961-4d24-85af-cb20191f4148"/>
    <w:basedOn w:val="NormalTablebeab0125-f966-40db-9eed-d1dc2a5b384f"/>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fcd37b98-2be4-4bce-9fbe-b053394a1491">
    <w:name w:val="Table 2_fcd37b98-2be4-4bce-9fbe-b053394a1491"/>
    <w:basedOn w:val="Table18dfd2aa3-7961-4d24-85af-cb20191f4148"/>
    <w:uiPriority w:val="99"/>
    <w:tblPr>
      <w:tblInd w:w="590" w:type="dxa"/>
    </w:tblPr>
  </w:style>
  <w:style w:type="table" w:customStyle="1" w:styleId="Table32378420e-4f28-4489-b451-6b0a6e9276dd">
    <w:name w:val="Table 3_2378420e-4f28-4489-b451-6b0a6e9276dd"/>
    <w:basedOn w:val="Table2fcd37b98-2be4-4bce-9fbe-b053394a1491"/>
    <w:uiPriority w:val="99"/>
    <w:tblPr>
      <w:tblInd w:w="1066" w:type="dxa"/>
    </w:tblPr>
  </w:style>
  <w:style w:type="table" w:customStyle="1" w:styleId="Table49e71a3a7-b7f2-4d32-9bb3-11bdd39eade4">
    <w:name w:val="Table 4_9e71a3a7-b7f2-4d32-9bb3-11bdd39eade4"/>
    <w:basedOn w:val="Table32378420e-4f28-4489-b451-6b0a6e9276dd"/>
    <w:uiPriority w:val="99"/>
    <w:tblPr>
      <w:tblInd w:w="1555" w:type="dxa"/>
    </w:tblPr>
  </w:style>
  <w:style w:type="table" w:customStyle="1" w:styleId="Table5c5e8e585-1d0e-4c94-95fe-cb31b9211b8e">
    <w:name w:val="Table 5_c5e8e585-1d0e-4c94-95fe-cb31b9211b8e"/>
    <w:basedOn w:val="Table49e71a3a7-b7f2-4d32-9bb3-11bdd39eade4"/>
    <w:uiPriority w:val="99"/>
    <w:tblPr>
      <w:tblInd w:w="2030" w:type="dxa"/>
    </w:tblPr>
  </w:style>
  <w:style w:type="table" w:customStyle="1" w:styleId="Table67c69593f-de1e-4941-8d21-ac2b55572ea3">
    <w:name w:val="Table 6_7c69593f-de1e-4941-8d21-ac2b55572ea3"/>
    <w:basedOn w:val="Table5c5e8e585-1d0e-4c94-95fe-cb31b9211b8e"/>
    <w:uiPriority w:val="99"/>
    <w:tblPr>
      <w:tblInd w:w="2506" w:type="dxa"/>
      <w:tblCellMar>
        <w:left w:w="115" w:type="dxa"/>
        <w:right w:w="115" w:type="dxa"/>
      </w:tblCellMar>
    </w:tblPr>
  </w:style>
  <w:style w:type="table" w:customStyle="1" w:styleId="Table7bc9e8f1f-153f-4d11-9a6e-f24029d41ea8">
    <w:name w:val="Table 7_bc9e8f1f-153f-4d11-9a6e-f24029d41ea8"/>
    <w:basedOn w:val="Table67c69593f-de1e-4941-8d21-ac2b55572ea3"/>
    <w:uiPriority w:val="99"/>
    <w:tblPr>
      <w:tblInd w:w="2995" w:type="dxa"/>
    </w:tblPr>
  </w:style>
  <w:style w:type="table" w:customStyle="1" w:styleId="Table8">
    <w:name w:val="Table 8"/>
    <w:basedOn w:val="Table7bc9e8f1f-153f-4d11-9a6e-f24029d41ea8"/>
    <w:uiPriority w:val="99"/>
    <w:tblPr>
      <w:tblInd w:w="3470" w:type="dxa"/>
    </w:tblPr>
  </w:style>
  <w:style w:type="table" w:customStyle="1" w:styleId="NormalTable1bf858d2-dd37-4140-9e91-a0dca0ba2a4a">
    <w:name w:val="Normal Table_1bf858d2-dd37-4140-9e91-a0dca0ba2a4a"/>
    <w:uiPriority w:val="99"/>
    <w:semiHidden/>
    <w:unhideWhenUsed/>
    <w:tblPr>
      <w:tblInd w:w="0" w:type="dxa"/>
      <w:tblCellMar>
        <w:top w:w="0" w:type="dxa"/>
        <w:left w:w="108" w:type="dxa"/>
        <w:bottom w:w="0" w:type="dxa"/>
        <w:right w:w="108" w:type="dxa"/>
      </w:tblCellMar>
    </w:tblPr>
  </w:style>
  <w:style w:type="table" w:customStyle="1" w:styleId="Table1cbe64fb6-5b70-4c3d-a1cc-00ef30b47104">
    <w:name w:val="Table 1_cbe64fb6-5b70-4c3d-a1cc-00ef30b47104"/>
    <w:basedOn w:val="NormalTable1bf858d2-dd37-4140-9e91-a0dca0ba2a4a"/>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3c9393b2-1288-4d18-aed5-56801dca3d0d">
    <w:name w:val="Table 2_3c9393b2-1288-4d18-aed5-56801dca3d0d"/>
    <w:basedOn w:val="Table1cbe64fb6-5b70-4c3d-a1cc-00ef30b47104"/>
    <w:uiPriority w:val="99"/>
    <w:tblPr>
      <w:tblInd w:w="590" w:type="dxa"/>
    </w:tblPr>
  </w:style>
  <w:style w:type="table" w:customStyle="1" w:styleId="Table351da9945-da08-46f5-80ef-a4c99a9e3245">
    <w:name w:val="Table 3_51da9945-da08-46f5-80ef-a4c99a9e3245"/>
    <w:basedOn w:val="Table23c9393b2-1288-4d18-aed5-56801dca3d0d"/>
    <w:uiPriority w:val="99"/>
    <w:tblPr>
      <w:tblInd w:w="1066" w:type="dxa"/>
    </w:tblPr>
  </w:style>
  <w:style w:type="table" w:customStyle="1" w:styleId="Table43982da07-f2d2-4daa-b95c-750e4a57a471">
    <w:name w:val="Table 4_3982da07-f2d2-4daa-b95c-750e4a57a471"/>
    <w:basedOn w:val="Table351da9945-da08-46f5-80ef-a4c99a9e3245"/>
    <w:uiPriority w:val="99"/>
    <w:tblPr>
      <w:tblInd w:w="1555" w:type="dxa"/>
    </w:tblPr>
  </w:style>
  <w:style w:type="table" w:customStyle="1" w:styleId="Table5f7a7ca18-5617-45b3-9f78-c69ed150575c">
    <w:name w:val="Table 5_f7a7ca18-5617-45b3-9f78-c69ed150575c"/>
    <w:basedOn w:val="Table43982da07-f2d2-4daa-b95c-750e4a57a471"/>
    <w:uiPriority w:val="99"/>
    <w:tblPr>
      <w:tblInd w:w="2030" w:type="dxa"/>
    </w:tblPr>
  </w:style>
  <w:style w:type="table" w:customStyle="1" w:styleId="Table68d161c99-281f-40e9-8e2c-86247a21ed59">
    <w:name w:val="Table 6_8d161c99-281f-40e9-8e2c-86247a21ed59"/>
    <w:basedOn w:val="Table5f7a7ca18-5617-45b3-9f78-c69ed150575c"/>
    <w:uiPriority w:val="99"/>
    <w:tblPr>
      <w:tblInd w:w="2506" w:type="dxa"/>
      <w:tblCellMar>
        <w:left w:w="115" w:type="dxa"/>
        <w:right w:w="115" w:type="dxa"/>
      </w:tblCellMar>
    </w:tblPr>
  </w:style>
  <w:style w:type="table" w:customStyle="1" w:styleId="Table7d9195068-b0e6-41fd-964e-dd14e9abf744">
    <w:name w:val="Table 7_d9195068-b0e6-41fd-964e-dd14e9abf744"/>
    <w:basedOn w:val="Table68d161c99-281f-40e9-8e2c-86247a21ed59"/>
    <w:uiPriority w:val="99"/>
    <w:tblPr>
      <w:tblInd w:w="2995" w:type="dxa"/>
    </w:tblPr>
  </w:style>
  <w:style w:type="table" w:customStyle="1" w:styleId="Table8adcaf4ba-33fc-4e86-baac-c10ed0a87c67">
    <w:name w:val="Table 8_adcaf4ba-33fc-4e86-baac-c10ed0a87c67"/>
    <w:basedOn w:val="Table7d9195068-b0e6-41fd-964e-dd14e9abf744"/>
    <w:uiPriority w:val="99"/>
    <w:tblPr>
      <w:tblInd w:w="3470" w:type="dxa"/>
    </w:tblPr>
  </w:style>
  <w:style w:type="table" w:customStyle="1" w:styleId="Table9">
    <w:name w:val="Table 9"/>
    <w:basedOn w:val="Table8adcaf4ba-33fc-4e86-baac-c10ed0a87c67"/>
    <w:uiPriority w:val="99"/>
    <w:tblPr>
      <w:tblInd w:w="3946" w:type="dxa"/>
    </w:tblPr>
  </w:style>
  <w:style w:type="table" w:customStyle="1" w:styleId="NormalTable58306d64-808d-488e-b264-dd8aeb643e4f">
    <w:name w:val="Normal Table_58306d64-808d-488e-b264-dd8aeb643e4f"/>
    <w:uiPriority w:val="99"/>
    <w:semiHidden/>
    <w:unhideWhenUsed/>
    <w:tblPr>
      <w:tblInd w:w="0" w:type="dxa"/>
      <w:tblCellMar>
        <w:top w:w="0" w:type="dxa"/>
        <w:left w:w="108" w:type="dxa"/>
        <w:bottom w:w="0" w:type="dxa"/>
        <w:right w:w="108" w:type="dxa"/>
      </w:tblCellMar>
    </w:tblPr>
  </w:style>
  <w:style w:type="table" w:customStyle="1" w:styleId="TableNoRule1">
    <w:name w:val="Table NoRule 1"/>
    <w:basedOn w:val="NormalTable58306d64-808d-488e-b264-dd8aeb643e4f"/>
    <w:uiPriority w:val="99"/>
    <w:pPr>
      <w:spacing w:before="0" w:after="0"/>
      <w:jc w:val="left"/>
    </w:pPr>
    <w:tblPr>
      <w:tblCellMar>
        <w:left w:w="0" w:type="dxa"/>
        <w:right w:w="0" w:type="dxa"/>
      </w:tblCellMar>
    </w:tblPr>
    <w:tcPr>
      <w:shd w:val="clear" w:color="auto" w:fill="auto"/>
    </w:tcPr>
  </w:style>
  <w:style w:type="table" w:customStyle="1" w:styleId="NormalTablef3299532-aed2-403e-bae1-bac666e7a9b0">
    <w:name w:val="Normal Table_f3299532-aed2-403e-bae1-bac666e7a9b0"/>
    <w:uiPriority w:val="99"/>
    <w:semiHidden/>
    <w:unhideWhenUsed/>
    <w:tblPr>
      <w:tblInd w:w="0" w:type="dxa"/>
      <w:tblCellMar>
        <w:top w:w="0" w:type="dxa"/>
        <w:left w:w="108" w:type="dxa"/>
        <w:bottom w:w="0" w:type="dxa"/>
        <w:right w:w="108" w:type="dxa"/>
      </w:tblCellMar>
    </w:tblPr>
  </w:style>
  <w:style w:type="table" w:customStyle="1" w:styleId="TableNoRule13d09af9e-a571-4824-b386-524b5f15b022">
    <w:name w:val="Table NoRule 1_3d09af9e-a571-4824-b386-524b5f15b022"/>
    <w:basedOn w:val="NormalTablef3299532-aed2-403e-bae1-bac666e7a9b0"/>
    <w:uiPriority w:val="99"/>
    <w:pPr>
      <w:spacing w:before="0" w:after="0"/>
      <w:jc w:val="left"/>
    </w:pPr>
    <w:tblPr>
      <w:tblCellMar>
        <w:left w:w="0" w:type="dxa"/>
        <w:right w:w="0" w:type="dxa"/>
      </w:tblCellMar>
    </w:tblPr>
    <w:tcPr>
      <w:shd w:val="clear" w:color="auto" w:fill="auto"/>
    </w:tcPr>
  </w:style>
  <w:style w:type="table" w:customStyle="1" w:styleId="TableNoRule2">
    <w:name w:val="Table NoRule 2"/>
    <w:basedOn w:val="TableNoRule13d09af9e-a571-4824-b386-524b5f15b022"/>
    <w:uiPriority w:val="99"/>
    <w:tblPr>
      <w:tblInd w:w="475" w:type="dxa"/>
    </w:tblPr>
  </w:style>
  <w:style w:type="table" w:customStyle="1" w:styleId="NormalTable87b69b5c-757b-4b1b-bf07-15d5df91afa3">
    <w:name w:val="Normal Table_87b69b5c-757b-4b1b-bf07-15d5df91afa3"/>
    <w:uiPriority w:val="99"/>
    <w:semiHidden/>
    <w:unhideWhenUsed/>
    <w:tblPr>
      <w:tblInd w:w="0" w:type="dxa"/>
      <w:tblCellMar>
        <w:top w:w="0" w:type="dxa"/>
        <w:left w:w="108" w:type="dxa"/>
        <w:bottom w:w="0" w:type="dxa"/>
        <w:right w:w="108" w:type="dxa"/>
      </w:tblCellMar>
    </w:tblPr>
  </w:style>
  <w:style w:type="table" w:customStyle="1" w:styleId="TableNoRule1176714de-9d73-43ee-b23d-00f8975d38e2">
    <w:name w:val="Table NoRule 1_176714de-9d73-43ee-b23d-00f8975d38e2"/>
    <w:basedOn w:val="NormalTable87b69b5c-757b-4b1b-bf07-15d5df91afa3"/>
    <w:uiPriority w:val="99"/>
    <w:pPr>
      <w:spacing w:before="0" w:after="0"/>
      <w:jc w:val="left"/>
    </w:pPr>
    <w:tblPr>
      <w:tblCellMar>
        <w:left w:w="0" w:type="dxa"/>
        <w:right w:w="0" w:type="dxa"/>
      </w:tblCellMar>
    </w:tblPr>
    <w:tcPr>
      <w:shd w:val="clear" w:color="auto" w:fill="auto"/>
    </w:tcPr>
  </w:style>
  <w:style w:type="table" w:customStyle="1" w:styleId="TableNoRule248eed935-a487-4f11-af05-053f17e0dfd9">
    <w:name w:val="Table NoRule 2_48eed935-a487-4f11-af05-053f17e0dfd9"/>
    <w:basedOn w:val="TableNoRule1176714de-9d73-43ee-b23d-00f8975d38e2"/>
    <w:uiPriority w:val="99"/>
    <w:tblPr>
      <w:tblInd w:w="475" w:type="dxa"/>
    </w:tblPr>
  </w:style>
  <w:style w:type="table" w:customStyle="1" w:styleId="TableNoRule3">
    <w:name w:val="Table NoRule 3"/>
    <w:basedOn w:val="TableNoRule248eed935-a487-4f11-af05-053f17e0dfd9"/>
    <w:uiPriority w:val="99"/>
    <w:tblPr>
      <w:tblInd w:w="950" w:type="dxa"/>
    </w:tblPr>
  </w:style>
  <w:style w:type="table" w:customStyle="1" w:styleId="NormalTable2870d487-0b08-4436-8815-2b279b2e4915">
    <w:name w:val="Normal Table_2870d487-0b08-4436-8815-2b279b2e4915"/>
    <w:uiPriority w:val="99"/>
    <w:semiHidden/>
    <w:unhideWhenUsed/>
    <w:tblPr>
      <w:tblInd w:w="0" w:type="dxa"/>
      <w:tblCellMar>
        <w:top w:w="0" w:type="dxa"/>
        <w:left w:w="108" w:type="dxa"/>
        <w:bottom w:w="0" w:type="dxa"/>
        <w:right w:w="108" w:type="dxa"/>
      </w:tblCellMar>
    </w:tblPr>
  </w:style>
  <w:style w:type="table" w:customStyle="1" w:styleId="TableNoRule176cb4b34-a18a-4a44-9220-b0b8213c7326">
    <w:name w:val="Table NoRule 1_76cb4b34-a18a-4a44-9220-b0b8213c7326"/>
    <w:basedOn w:val="NormalTable2870d487-0b08-4436-8815-2b279b2e4915"/>
    <w:uiPriority w:val="99"/>
    <w:pPr>
      <w:spacing w:before="0" w:after="0"/>
      <w:jc w:val="left"/>
    </w:pPr>
    <w:tblPr>
      <w:tblCellMar>
        <w:left w:w="0" w:type="dxa"/>
        <w:right w:w="0" w:type="dxa"/>
      </w:tblCellMar>
    </w:tblPr>
    <w:tcPr>
      <w:shd w:val="clear" w:color="auto" w:fill="auto"/>
    </w:tcPr>
  </w:style>
  <w:style w:type="table" w:customStyle="1" w:styleId="TableNoRule2579ade5c-8893-46a3-9e40-60fbd19ab185">
    <w:name w:val="Table NoRule 2_579ade5c-8893-46a3-9e40-60fbd19ab185"/>
    <w:basedOn w:val="TableNoRule176cb4b34-a18a-4a44-9220-b0b8213c7326"/>
    <w:uiPriority w:val="99"/>
    <w:tblPr>
      <w:tblInd w:w="475" w:type="dxa"/>
    </w:tblPr>
  </w:style>
  <w:style w:type="table" w:customStyle="1" w:styleId="TableNoRule3aaaf8ba7-0764-4df7-9f7a-b9f2d42d4454">
    <w:name w:val="Table NoRule 3_aaaf8ba7-0764-4df7-9f7a-b9f2d42d4454"/>
    <w:basedOn w:val="TableNoRule2579ade5c-8893-46a3-9e40-60fbd19ab185"/>
    <w:uiPriority w:val="99"/>
    <w:tblPr>
      <w:tblInd w:w="950" w:type="dxa"/>
    </w:tblPr>
  </w:style>
  <w:style w:type="table" w:customStyle="1" w:styleId="TableNoRule4">
    <w:name w:val="Table NoRule 4"/>
    <w:basedOn w:val="TableNoRule3aaaf8ba7-0764-4df7-9f7a-b9f2d42d4454"/>
    <w:uiPriority w:val="99"/>
    <w:tblPr>
      <w:tblInd w:w="1440" w:type="dxa"/>
    </w:tblPr>
  </w:style>
  <w:style w:type="table" w:customStyle="1" w:styleId="NormalTable70241b1a-3d39-405e-a463-2bf3fb257bb3">
    <w:name w:val="Normal Table_70241b1a-3d39-405e-a463-2bf3fb257bb3"/>
    <w:uiPriority w:val="99"/>
    <w:semiHidden/>
    <w:unhideWhenUsed/>
    <w:tblPr>
      <w:tblInd w:w="0" w:type="dxa"/>
      <w:tblCellMar>
        <w:top w:w="0" w:type="dxa"/>
        <w:left w:w="108" w:type="dxa"/>
        <w:bottom w:w="0" w:type="dxa"/>
        <w:right w:w="108" w:type="dxa"/>
      </w:tblCellMar>
    </w:tblPr>
  </w:style>
  <w:style w:type="table" w:customStyle="1" w:styleId="TableNoRule162006803-07a4-43f4-b80c-1182499f8dc7">
    <w:name w:val="Table NoRule 1_62006803-07a4-43f4-b80c-1182499f8dc7"/>
    <w:basedOn w:val="NormalTable70241b1a-3d39-405e-a463-2bf3fb257bb3"/>
    <w:uiPriority w:val="99"/>
    <w:pPr>
      <w:spacing w:before="0" w:after="0"/>
      <w:jc w:val="left"/>
    </w:pPr>
    <w:tblPr>
      <w:tblCellMar>
        <w:left w:w="0" w:type="dxa"/>
        <w:right w:w="0" w:type="dxa"/>
      </w:tblCellMar>
    </w:tblPr>
    <w:tcPr>
      <w:shd w:val="clear" w:color="auto" w:fill="auto"/>
    </w:tcPr>
  </w:style>
  <w:style w:type="table" w:customStyle="1" w:styleId="TableNoRule287ee8817-21b0-4a47-a234-54a9c35e2ab1">
    <w:name w:val="Table NoRule 2_87ee8817-21b0-4a47-a234-54a9c35e2ab1"/>
    <w:basedOn w:val="TableNoRule162006803-07a4-43f4-b80c-1182499f8dc7"/>
    <w:uiPriority w:val="99"/>
    <w:tblPr>
      <w:tblInd w:w="475" w:type="dxa"/>
    </w:tblPr>
  </w:style>
  <w:style w:type="table" w:customStyle="1" w:styleId="TableNoRule370de13ec-e843-4f6f-a281-3a21a5e6c7a4">
    <w:name w:val="Table NoRule 3_70de13ec-e843-4f6f-a281-3a21a5e6c7a4"/>
    <w:basedOn w:val="TableNoRule287ee8817-21b0-4a47-a234-54a9c35e2ab1"/>
    <w:uiPriority w:val="99"/>
    <w:tblPr>
      <w:tblInd w:w="950" w:type="dxa"/>
    </w:tblPr>
  </w:style>
  <w:style w:type="table" w:customStyle="1" w:styleId="TableNoRule482e90f35-fbdb-40f4-a168-f4c047381aea">
    <w:name w:val="Table NoRule 4_82e90f35-fbdb-40f4-a168-f4c047381aea"/>
    <w:basedOn w:val="TableNoRule370de13ec-e843-4f6f-a281-3a21a5e6c7a4"/>
    <w:uiPriority w:val="99"/>
    <w:tblPr>
      <w:tblInd w:w="1440" w:type="dxa"/>
    </w:tblPr>
  </w:style>
  <w:style w:type="table" w:customStyle="1" w:styleId="TableNoRule5">
    <w:name w:val="Table NoRule 5"/>
    <w:basedOn w:val="TableNoRule482e90f35-fbdb-40f4-a168-f4c047381aea"/>
    <w:uiPriority w:val="99"/>
    <w:tblPr>
      <w:tblInd w:w="1915" w:type="dxa"/>
    </w:tblPr>
  </w:style>
  <w:style w:type="table" w:customStyle="1" w:styleId="NormalTable5573fdd0-4165-4856-aebf-3db6e0ab5837">
    <w:name w:val="Normal Table_5573fdd0-4165-4856-aebf-3db6e0ab5837"/>
    <w:uiPriority w:val="99"/>
    <w:semiHidden/>
    <w:unhideWhenUsed/>
    <w:tblPr>
      <w:tblInd w:w="0" w:type="dxa"/>
      <w:tblCellMar>
        <w:top w:w="0" w:type="dxa"/>
        <w:left w:w="108" w:type="dxa"/>
        <w:bottom w:w="0" w:type="dxa"/>
        <w:right w:w="108" w:type="dxa"/>
      </w:tblCellMar>
    </w:tblPr>
  </w:style>
  <w:style w:type="table" w:customStyle="1" w:styleId="TableNoRule1f8fe8db0-c155-4ed7-a68a-0123007c3d48">
    <w:name w:val="Table NoRule 1_f8fe8db0-c155-4ed7-a68a-0123007c3d48"/>
    <w:basedOn w:val="NormalTable5573fdd0-4165-4856-aebf-3db6e0ab5837"/>
    <w:uiPriority w:val="99"/>
    <w:pPr>
      <w:spacing w:before="0" w:after="0"/>
      <w:jc w:val="left"/>
    </w:pPr>
    <w:tblPr>
      <w:tblCellMar>
        <w:left w:w="0" w:type="dxa"/>
        <w:right w:w="0" w:type="dxa"/>
      </w:tblCellMar>
    </w:tblPr>
    <w:tcPr>
      <w:shd w:val="clear" w:color="auto" w:fill="auto"/>
    </w:tcPr>
  </w:style>
  <w:style w:type="table" w:customStyle="1" w:styleId="TableNoRule21ebe6667-b833-4846-9643-3211295f3311">
    <w:name w:val="Table NoRule 2_1ebe6667-b833-4846-9643-3211295f3311"/>
    <w:basedOn w:val="TableNoRule1f8fe8db0-c155-4ed7-a68a-0123007c3d48"/>
    <w:uiPriority w:val="99"/>
    <w:tblPr>
      <w:tblInd w:w="475" w:type="dxa"/>
    </w:tblPr>
  </w:style>
  <w:style w:type="table" w:customStyle="1" w:styleId="TableNoRule3d4da582f-7cba-4b73-81c0-a1898e640a43">
    <w:name w:val="Table NoRule 3_d4da582f-7cba-4b73-81c0-a1898e640a43"/>
    <w:basedOn w:val="TableNoRule21ebe6667-b833-4846-9643-3211295f3311"/>
    <w:uiPriority w:val="99"/>
    <w:tblPr>
      <w:tblInd w:w="950" w:type="dxa"/>
    </w:tblPr>
  </w:style>
  <w:style w:type="table" w:customStyle="1" w:styleId="TableNoRule44fee5e76-adce-4043-9ed7-b0b23458fe5a">
    <w:name w:val="Table NoRule 4_4fee5e76-adce-4043-9ed7-b0b23458fe5a"/>
    <w:basedOn w:val="TableNoRule3d4da582f-7cba-4b73-81c0-a1898e640a43"/>
    <w:uiPriority w:val="99"/>
    <w:tblPr>
      <w:tblInd w:w="1440" w:type="dxa"/>
    </w:tblPr>
  </w:style>
  <w:style w:type="table" w:customStyle="1" w:styleId="TableNoRule59327d7ab-0b41-4266-9d65-66aebe3903e5">
    <w:name w:val="Table NoRule 5_9327d7ab-0b41-4266-9d65-66aebe3903e5"/>
    <w:basedOn w:val="TableNoRule44fee5e76-adce-4043-9ed7-b0b23458fe5a"/>
    <w:uiPriority w:val="99"/>
    <w:tblPr>
      <w:tblInd w:w="1915" w:type="dxa"/>
    </w:tblPr>
  </w:style>
  <w:style w:type="table" w:customStyle="1" w:styleId="TableNoRule6">
    <w:name w:val="Table NoRule 6"/>
    <w:basedOn w:val="TableNoRule59327d7ab-0b41-4266-9d65-66aebe3903e5"/>
    <w:uiPriority w:val="99"/>
    <w:tblPr>
      <w:tblInd w:w="2390" w:type="dxa"/>
    </w:tblPr>
  </w:style>
  <w:style w:type="table" w:customStyle="1" w:styleId="NormalTablee84306f8-d188-4d58-9521-4afeab667714">
    <w:name w:val="Normal Table_e84306f8-d188-4d58-9521-4afeab667714"/>
    <w:uiPriority w:val="99"/>
    <w:semiHidden/>
    <w:unhideWhenUsed/>
    <w:tblPr>
      <w:tblInd w:w="0" w:type="dxa"/>
      <w:tblCellMar>
        <w:top w:w="0" w:type="dxa"/>
        <w:left w:w="108" w:type="dxa"/>
        <w:bottom w:w="0" w:type="dxa"/>
        <w:right w:w="108" w:type="dxa"/>
      </w:tblCellMar>
    </w:tblPr>
  </w:style>
  <w:style w:type="table" w:customStyle="1" w:styleId="TableNoRule1e586e2af-3b32-478e-b200-4e0d620091cb">
    <w:name w:val="Table NoRule 1_e586e2af-3b32-478e-b200-4e0d620091cb"/>
    <w:basedOn w:val="NormalTablee84306f8-d188-4d58-9521-4afeab667714"/>
    <w:uiPriority w:val="99"/>
    <w:pPr>
      <w:spacing w:before="0" w:after="0"/>
      <w:jc w:val="left"/>
    </w:pPr>
    <w:tblPr>
      <w:tblCellMar>
        <w:left w:w="0" w:type="dxa"/>
        <w:right w:w="0" w:type="dxa"/>
      </w:tblCellMar>
    </w:tblPr>
    <w:tcPr>
      <w:shd w:val="clear" w:color="auto" w:fill="auto"/>
    </w:tcPr>
  </w:style>
  <w:style w:type="table" w:customStyle="1" w:styleId="TableNoRule223b1abab-9021-433a-955d-000fc932b117">
    <w:name w:val="Table NoRule 2_23b1abab-9021-433a-955d-000fc932b117"/>
    <w:basedOn w:val="TableNoRule1e586e2af-3b32-478e-b200-4e0d620091cb"/>
    <w:uiPriority w:val="99"/>
    <w:tblPr>
      <w:tblInd w:w="475" w:type="dxa"/>
    </w:tblPr>
  </w:style>
  <w:style w:type="table" w:customStyle="1" w:styleId="TableNoRule3260845aa-f593-4fdb-ae9c-1570c0f10ffb">
    <w:name w:val="Table NoRule 3_260845aa-f593-4fdb-ae9c-1570c0f10ffb"/>
    <w:basedOn w:val="TableNoRule223b1abab-9021-433a-955d-000fc932b117"/>
    <w:uiPriority w:val="99"/>
    <w:tblPr>
      <w:tblInd w:w="950" w:type="dxa"/>
    </w:tblPr>
  </w:style>
  <w:style w:type="table" w:customStyle="1" w:styleId="TableNoRule4b16b0fa9-4572-445b-bb49-0002016ea707">
    <w:name w:val="Table NoRule 4_b16b0fa9-4572-445b-bb49-0002016ea707"/>
    <w:basedOn w:val="TableNoRule3260845aa-f593-4fdb-ae9c-1570c0f10ffb"/>
    <w:uiPriority w:val="99"/>
    <w:tblPr>
      <w:tblInd w:w="1440" w:type="dxa"/>
    </w:tblPr>
  </w:style>
  <w:style w:type="table" w:customStyle="1" w:styleId="TableNoRule549b3934f-732b-4e62-8f0e-721b4548e639">
    <w:name w:val="Table NoRule 5_49b3934f-732b-4e62-8f0e-721b4548e639"/>
    <w:basedOn w:val="TableNoRule4b16b0fa9-4572-445b-bb49-0002016ea707"/>
    <w:uiPriority w:val="99"/>
    <w:tblPr>
      <w:tblInd w:w="1915" w:type="dxa"/>
    </w:tblPr>
  </w:style>
  <w:style w:type="table" w:customStyle="1" w:styleId="TableNoRule613d6937f-789f-4bea-9d83-4e9cda90cd89">
    <w:name w:val="Table NoRule 6_13d6937f-789f-4bea-9d83-4e9cda90cd89"/>
    <w:basedOn w:val="TableNoRule549b3934f-732b-4e62-8f0e-721b4548e639"/>
    <w:uiPriority w:val="99"/>
    <w:tblPr>
      <w:tblInd w:w="2390" w:type="dxa"/>
    </w:tblPr>
  </w:style>
  <w:style w:type="table" w:customStyle="1" w:styleId="TableNoRule7">
    <w:name w:val="Table NoRule 7"/>
    <w:basedOn w:val="TableNoRule613d6937f-789f-4bea-9d83-4e9cda90cd89"/>
    <w:uiPriority w:val="99"/>
    <w:tblPr>
      <w:tblInd w:w="2880" w:type="dxa"/>
    </w:tblPr>
  </w:style>
  <w:style w:type="table" w:customStyle="1" w:styleId="NormalTablea10df473-e9a6-437f-b5c8-267166a7cb90">
    <w:name w:val="Normal Table_a10df473-e9a6-437f-b5c8-267166a7cb90"/>
    <w:uiPriority w:val="99"/>
    <w:semiHidden/>
    <w:unhideWhenUsed/>
    <w:tblPr>
      <w:tblInd w:w="0" w:type="dxa"/>
      <w:tblCellMar>
        <w:top w:w="0" w:type="dxa"/>
        <w:left w:w="108" w:type="dxa"/>
        <w:bottom w:w="0" w:type="dxa"/>
        <w:right w:w="108" w:type="dxa"/>
      </w:tblCellMar>
    </w:tblPr>
  </w:style>
  <w:style w:type="table" w:customStyle="1" w:styleId="TableNoRule171bb0ec2-0a78-4352-b26d-aad73edb01d6">
    <w:name w:val="Table NoRule 1_71bb0ec2-0a78-4352-b26d-aad73edb01d6"/>
    <w:basedOn w:val="NormalTablea10df473-e9a6-437f-b5c8-267166a7cb90"/>
    <w:uiPriority w:val="99"/>
    <w:pPr>
      <w:spacing w:before="0" w:after="0"/>
      <w:jc w:val="left"/>
    </w:pPr>
    <w:tblPr>
      <w:tblCellMar>
        <w:left w:w="0" w:type="dxa"/>
        <w:right w:w="0" w:type="dxa"/>
      </w:tblCellMar>
    </w:tblPr>
    <w:tcPr>
      <w:shd w:val="clear" w:color="auto" w:fill="auto"/>
    </w:tcPr>
  </w:style>
  <w:style w:type="table" w:customStyle="1" w:styleId="TableNoRule23e715516-d288-4b9c-9566-4ae98fca121b">
    <w:name w:val="Table NoRule 2_3e715516-d288-4b9c-9566-4ae98fca121b"/>
    <w:basedOn w:val="TableNoRule171bb0ec2-0a78-4352-b26d-aad73edb01d6"/>
    <w:uiPriority w:val="99"/>
    <w:tblPr>
      <w:tblInd w:w="475" w:type="dxa"/>
    </w:tblPr>
  </w:style>
  <w:style w:type="table" w:customStyle="1" w:styleId="TableNoRule35466922a-9021-4366-b6fd-d02a604b5ec9">
    <w:name w:val="Table NoRule 3_5466922a-9021-4366-b6fd-d02a604b5ec9"/>
    <w:basedOn w:val="TableNoRule23e715516-d288-4b9c-9566-4ae98fca121b"/>
    <w:uiPriority w:val="99"/>
    <w:tblPr>
      <w:tblInd w:w="950" w:type="dxa"/>
    </w:tblPr>
  </w:style>
  <w:style w:type="table" w:customStyle="1" w:styleId="TableNoRule46b8bf346-75b7-4cf8-b9c8-34cc8926fe91">
    <w:name w:val="Table NoRule 4_6b8bf346-75b7-4cf8-b9c8-34cc8926fe91"/>
    <w:basedOn w:val="TableNoRule35466922a-9021-4366-b6fd-d02a604b5ec9"/>
    <w:uiPriority w:val="99"/>
    <w:tblPr>
      <w:tblInd w:w="1440" w:type="dxa"/>
    </w:tblPr>
  </w:style>
  <w:style w:type="table" w:customStyle="1" w:styleId="TableNoRule50c021c8d-de91-4ac4-a5fd-46004583fd0b">
    <w:name w:val="Table NoRule 5_0c021c8d-de91-4ac4-a5fd-46004583fd0b"/>
    <w:basedOn w:val="TableNoRule46b8bf346-75b7-4cf8-b9c8-34cc8926fe91"/>
    <w:uiPriority w:val="99"/>
    <w:tblPr>
      <w:tblInd w:w="1915" w:type="dxa"/>
    </w:tblPr>
  </w:style>
  <w:style w:type="table" w:customStyle="1" w:styleId="TableNoRule6eb5ab391-3daa-4f12-828c-ed743aa55322">
    <w:name w:val="Table NoRule 6_eb5ab391-3daa-4f12-828c-ed743aa55322"/>
    <w:basedOn w:val="TableNoRule50c021c8d-de91-4ac4-a5fd-46004583fd0b"/>
    <w:uiPriority w:val="99"/>
    <w:tblPr>
      <w:tblInd w:w="2390" w:type="dxa"/>
    </w:tblPr>
  </w:style>
  <w:style w:type="table" w:customStyle="1" w:styleId="TableNoRule7a7afa1bd-cda3-4ddc-a251-69b75f0566c7">
    <w:name w:val="Table NoRule 7_a7afa1bd-cda3-4ddc-a251-69b75f0566c7"/>
    <w:basedOn w:val="TableNoRule6eb5ab391-3daa-4f12-828c-ed743aa55322"/>
    <w:uiPriority w:val="99"/>
    <w:tblPr>
      <w:tblInd w:w="2880" w:type="dxa"/>
    </w:tblPr>
  </w:style>
  <w:style w:type="table" w:customStyle="1" w:styleId="TableNoRule8">
    <w:name w:val="Table NoRule 8"/>
    <w:basedOn w:val="TableNoRule7a7afa1bd-cda3-4ddc-a251-69b75f0566c7"/>
    <w:uiPriority w:val="99"/>
    <w:tblPr>
      <w:tblInd w:w="3355" w:type="dxa"/>
    </w:tblPr>
  </w:style>
  <w:style w:type="table" w:customStyle="1" w:styleId="NormalTable42a02b12-4335-44a9-bac8-e8a4c58cba66">
    <w:name w:val="Normal Table_42a02b12-4335-44a9-bac8-e8a4c58cba66"/>
    <w:uiPriority w:val="99"/>
    <w:semiHidden/>
    <w:unhideWhenUsed/>
    <w:tblPr>
      <w:tblInd w:w="0" w:type="dxa"/>
      <w:tblCellMar>
        <w:top w:w="0" w:type="dxa"/>
        <w:left w:w="108" w:type="dxa"/>
        <w:bottom w:w="0" w:type="dxa"/>
        <w:right w:w="108" w:type="dxa"/>
      </w:tblCellMar>
    </w:tblPr>
  </w:style>
  <w:style w:type="table" w:customStyle="1" w:styleId="TableNoRule14f12bb7b-675e-41f8-9a72-9e7f7ad77c93">
    <w:name w:val="Table NoRule 1_4f12bb7b-675e-41f8-9a72-9e7f7ad77c93"/>
    <w:basedOn w:val="NormalTable42a02b12-4335-44a9-bac8-e8a4c58cba66"/>
    <w:uiPriority w:val="99"/>
    <w:pPr>
      <w:spacing w:before="0" w:after="0"/>
      <w:jc w:val="left"/>
    </w:pPr>
    <w:tblPr>
      <w:tblCellMar>
        <w:left w:w="0" w:type="dxa"/>
        <w:right w:w="0" w:type="dxa"/>
      </w:tblCellMar>
    </w:tblPr>
    <w:tcPr>
      <w:shd w:val="clear" w:color="auto" w:fill="auto"/>
    </w:tcPr>
  </w:style>
  <w:style w:type="table" w:customStyle="1" w:styleId="TableNoRule23a6809d5-1820-4bc9-ad23-987fde76458a">
    <w:name w:val="Table NoRule 2_3a6809d5-1820-4bc9-ad23-987fde76458a"/>
    <w:basedOn w:val="TableNoRule14f12bb7b-675e-41f8-9a72-9e7f7ad77c93"/>
    <w:uiPriority w:val="99"/>
    <w:tblPr>
      <w:tblInd w:w="475" w:type="dxa"/>
    </w:tblPr>
  </w:style>
  <w:style w:type="table" w:customStyle="1" w:styleId="TableNoRule3089d6830-4dcd-4431-9ce4-b72e1b124484">
    <w:name w:val="Table NoRule 3_089d6830-4dcd-4431-9ce4-b72e1b124484"/>
    <w:basedOn w:val="TableNoRule23a6809d5-1820-4bc9-ad23-987fde76458a"/>
    <w:uiPriority w:val="99"/>
    <w:tblPr>
      <w:tblInd w:w="950" w:type="dxa"/>
    </w:tblPr>
  </w:style>
  <w:style w:type="table" w:customStyle="1" w:styleId="TableNoRule4f1348565-03bb-4c8d-81d3-042bc470a8a5">
    <w:name w:val="Table NoRule 4_f1348565-03bb-4c8d-81d3-042bc470a8a5"/>
    <w:basedOn w:val="TableNoRule3089d6830-4dcd-4431-9ce4-b72e1b124484"/>
    <w:uiPriority w:val="99"/>
    <w:tblPr>
      <w:tblInd w:w="1440" w:type="dxa"/>
    </w:tblPr>
  </w:style>
  <w:style w:type="table" w:customStyle="1" w:styleId="TableNoRule55a4e51cc-51a6-4e55-8888-3219fe718ce0">
    <w:name w:val="Table NoRule 5_5a4e51cc-51a6-4e55-8888-3219fe718ce0"/>
    <w:basedOn w:val="TableNoRule4f1348565-03bb-4c8d-81d3-042bc470a8a5"/>
    <w:uiPriority w:val="99"/>
    <w:tblPr>
      <w:tblInd w:w="1915" w:type="dxa"/>
    </w:tblPr>
  </w:style>
  <w:style w:type="table" w:customStyle="1" w:styleId="TableNoRule63711b018-d038-4edd-915b-d07ff3bcba68">
    <w:name w:val="Table NoRule 6_3711b018-d038-4edd-915b-d07ff3bcba68"/>
    <w:basedOn w:val="TableNoRule55a4e51cc-51a6-4e55-8888-3219fe718ce0"/>
    <w:uiPriority w:val="99"/>
    <w:tblPr>
      <w:tblInd w:w="2390" w:type="dxa"/>
    </w:tblPr>
  </w:style>
  <w:style w:type="table" w:customStyle="1" w:styleId="TableNoRule7d8a01cc1-a901-4e5d-b50a-0f35da6c6172">
    <w:name w:val="Table NoRule 7_d8a01cc1-a901-4e5d-b50a-0f35da6c6172"/>
    <w:basedOn w:val="TableNoRule63711b018-d038-4edd-915b-d07ff3bcba68"/>
    <w:uiPriority w:val="99"/>
    <w:tblPr>
      <w:tblInd w:w="2880" w:type="dxa"/>
    </w:tblPr>
  </w:style>
  <w:style w:type="table" w:customStyle="1" w:styleId="TableNoRule803448e29-ef59-4f5f-9aa5-7db017c09945">
    <w:name w:val="Table NoRule 8_03448e29-ef59-4f5f-9aa5-7db017c09945"/>
    <w:basedOn w:val="TableNoRule7d8a01cc1-a901-4e5d-b50a-0f35da6c6172"/>
    <w:uiPriority w:val="99"/>
    <w:tblPr>
      <w:tblInd w:w="3355" w:type="dxa"/>
    </w:tblPr>
  </w:style>
  <w:style w:type="table" w:customStyle="1" w:styleId="TableNoRule9">
    <w:name w:val="Table NoRule 9"/>
    <w:basedOn w:val="TableNoRule803448e29-ef59-4f5f-9aa5-7db017c09945"/>
    <w:uiPriority w:val="99"/>
    <w:tblPr>
      <w:tblInd w:w="3830" w:type="dxa"/>
    </w:tblPr>
  </w:style>
  <w:style w:type="paragraph" w:customStyle="1" w:styleId="PageBreakB4Table">
    <w:name w:val="PageBreakB4Table"/>
    <w:basedOn w:val="Normal"/>
    <w:qFormat/>
    <w:pPr>
      <w:spacing w:before="0" w:after="0"/>
    </w:pPr>
    <w:rPr>
      <w:rFonts w:ascii="Cambria Math" w:hAnsi="Cambria Math"/>
      <w:sz w:val="6"/>
    </w:rPr>
  </w:style>
  <w:style w:type="paragraph" w:customStyle="1" w:styleId="ImageAboveCaptionLeft">
    <w:name w:val="Image Above Caption Left"/>
    <w:next w:val="Block1"/>
    <w:qFormat/>
    <w:pPr>
      <w:keepNext/>
      <w:jc w:val="left"/>
    </w:pPr>
    <w:rPr>
      <w:rFonts w:ascii="Calibri" w:hAnsi="Calibri"/>
      <w:noProof/>
    </w:rPr>
  </w:style>
  <w:style w:type="paragraph" w:customStyle="1" w:styleId="ImageAboveCaptionCenter">
    <w:name w:val="Image Above Caption Center"/>
    <w:basedOn w:val="ImageAboveCaptionLeft"/>
    <w:next w:val="Block1"/>
    <w:qFormat/>
    <w:pPr>
      <w:jc w:val="center"/>
    </w:pPr>
  </w:style>
  <w:style w:type="paragraph" w:customStyle="1" w:styleId="ImageCaptionAboveCenter">
    <w:name w:val="Image Caption Above Center"/>
    <w:basedOn w:val="ImageCaptionAboveLeft"/>
    <w:next w:val="Block1"/>
    <w:qFormat/>
    <w:pPr>
      <w:jc w:val="center"/>
    </w:pPr>
  </w:style>
  <w:style w:type="paragraph" w:customStyle="1" w:styleId="ImageCaptionAboveRight">
    <w:name w:val="Image Caption Above Right"/>
    <w:basedOn w:val="ImageCaptionAboveLeft"/>
    <w:next w:val="Block1"/>
    <w:qFormat/>
    <w:pPr>
      <w:jc w:val="right"/>
    </w:pPr>
  </w:style>
  <w:style w:type="paragraph" w:customStyle="1" w:styleId="ImageAboveCaptionRight">
    <w:name w:val="Image Above Caption Right"/>
    <w:basedOn w:val="ImageAboveCaptionLeft"/>
    <w:qFormat/>
    <w:pPr>
      <w:jc w:val="right"/>
    </w:pPr>
  </w:style>
  <w:style w:type="table" w:customStyle="1" w:styleId="NormalTabledecce470-ad07-45cf-89da-17a2dd006330">
    <w:name w:val="Normal Table_decce470-ad07-45cf-89da-17a2dd006330"/>
    <w:uiPriority w:val="99"/>
    <w:semiHidden/>
    <w:unhideWhenUsed/>
    <w:tblPr>
      <w:tblInd w:w="0" w:type="dxa"/>
      <w:tblCellMar>
        <w:top w:w="0" w:type="dxa"/>
        <w:left w:w="108" w:type="dxa"/>
        <w:bottom w:w="0" w:type="dxa"/>
        <w:right w:w="108" w:type="dxa"/>
      </w:tblCellMar>
    </w:tblPr>
  </w:style>
  <w:style w:type="table" w:customStyle="1" w:styleId="Table1ee4dce34-b6b1-4050-92a2-2a67dbe6f82e">
    <w:name w:val="Table 1_ee4dce34-b6b1-4050-92a2-2a67dbe6f82e"/>
    <w:basedOn w:val="NormalTabledecce470-ad07-45cf-89da-17a2dd006330"/>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NormalTable8e22a602-75e2-4b7e-9641-9ff931718c5d">
    <w:name w:val="Normal Table_8e22a602-75e2-4b7e-9641-9ff931718c5d"/>
    <w:uiPriority w:val="99"/>
    <w:semiHidden/>
    <w:unhideWhenUsed/>
    <w:tblPr>
      <w:tblInd w:w="0" w:type="dxa"/>
      <w:tblCellMar>
        <w:top w:w="0" w:type="dxa"/>
        <w:left w:w="108" w:type="dxa"/>
        <w:bottom w:w="0" w:type="dxa"/>
        <w:right w:w="108" w:type="dxa"/>
      </w:tblCellMar>
    </w:tblPr>
  </w:style>
  <w:style w:type="table" w:customStyle="1" w:styleId="Table18bc8578f-0f34-4b12-b370-7c4afae6f82a">
    <w:name w:val="Table 1_8bc8578f-0f34-4b12-b370-7c4afae6f82a"/>
    <w:basedOn w:val="NormalTable8e22a602-75e2-4b7e-9641-9ff931718c5d"/>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styleId="Revision">
    <w:name w:val="Revision"/>
    <w:hidden/>
    <w:uiPriority w:val="99"/>
    <w:semiHidden/>
    <w:rsid w:val="00CD1A2F"/>
    <w:pPr>
      <w:spacing w:before="0" w:after="0"/>
      <w:jc w:val="left"/>
    </w:pPr>
    <w:rPr>
      <w:rFonts w:ascii="Calibri" w:hAnsi="Calibr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7</Pages>
  <Words>1868</Words>
  <Characters>10652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Hayes-Santos</cp:lastModifiedBy>
  <cp:revision>2</cp:revision>
  <dcterms:created xsi:type="dcterms:W3CDTF">2025-09-09T05:28:00Z</dcterms:created>
  <dcterms:modified xsi:type="dcterms:W3CDTF">2025-09-09T06:04:00Z</dcterms:modified>
</cp:coreProperties>
</file>