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“Momentum Helicity Separates Cascade Operators from Euler–Arnold Operators.” </w:t>
      </w:r>
      <w:r>
        <w:rPr>
          <w:bCs/>
          <w:i/>
          <w:iCs/>
          <w:color w:val="1D1C1D"/>
        </w:rPr>
        <w:t xml:space="preserve">Paper IV of four;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four of the above were produced with substantial AI assistance under my direction; I am responsible for the contents.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