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</w:rPr>
        <w:t xml:space="preserve">Paper 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“The Isotropic Directional Obstruction for Cascade Operators.” </w:t>
      </w:r>
      <w:r>
        <w:rPr>
          <w:bCs/>
          <w:i/>
          <w:iCs/>
          <w:color w:val="1D1C1D"/>
        </w:rPr>
        <w:t xml:space="preserve">Paper 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“Cross-Triad Rigidity for Cascade Operators.” </w:t>
      </w:r>
      <w:r>
        <w:rPr>
          <w:bCs/>
          <w:i/>
          <w:iCs/>
          <w:color w:val="1D1C1D"/>
        </w:rPr>
        <w:t xml:space="preserve">Paper III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“Momentum Helicity Separates Cascade Operators from Euler–Arnold Operators.” </w:t>
      </w:r>
      <w:r>
        <w:rPr>
          <w:bCs/>
          <w:i/>
          <w:iCs/>
          <w:color w:val="1D1C1D"/>
        </w:rPr>
        <w:t xml:space="preserve">Paper IV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 Beale–Kato–Majda Criterion for Right-Invariant Hˢ Metrics on SDiff(T³).” </w:t>
      </w:r>
      <w:r>
        <w:rPr>
          <w:bCs/>
          <w:i/>
          <w:iCs/>
          <w:color w:val="1D1C1D"/>
        </w:rPr>
        <w:t xml:space="preserve">Paper V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“Two-and-a-Half-Dimensional Flows of the Hˢ Euler–Arnold Equations: A Self-Gravitating Boussinesq System.” </w:t>
      </w:r>
      <w:r>
        <w:rPr>
          <w:bCs/>
          <w:i/>
          <w:iCs/>
          <w:color w:val="1D1C1D"/>
        </w:rPr>
        <w:t xml:space="preserve">Paper VI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“Axisymmetric Flows with Swirl of the Hˢ Euler–Arnold Equations: A Reduction, Two Thresholds, and a Missing Wall.” </w:t>
      </w:r>
      <w:r>
        <w:rPr>
          <w:bCs/>
          <w:i/>
          <w:iCs/>
          <w:color w:val="1D1C1D"/>
        </w:rPr>
        <w:t xml:space="preserve">Paper VII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 One-Dimensional Wall Model for the Hˢ Euler–Arnold Equations: Blowup Below s = 1/2, Regularity Above.” </w:t>
      </w:r>
      <w:r>
        <w:rPr>
          <w:bCs/>
          <w:i/>
          <w:iCs/>
          <w:color w:val="1D1C1D"/>
        </w:rPr>
        <w:t xml:space="preserve">Paper VIII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All eight of the above were produced with substantial AI assistance under my direction; I am responsible for the contents. Not yet independently reviewed.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“Eight Conditions on the Missing Estimate for the Three-Dimensional Navier–Stokes Equations.” </w:t>
      </w:r>
      <w:r>
        <w:rPr>
          <w:bCs/>
          <w:i/>
          <w:iCs/>
          <w:color w:val="1D1C1D"/>
        </w:rPr>
        <w:t xml:space="preserve">Note;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I.” </w:t>
      </w:r>
      <w:r>
        <w:rPr>
          <w:bCs/>
          <w:i/>
          <w:iCs/>
          <w:color w:val="1D1C1D"/>
        </w:rPr>
        <w:t xml:space="preserve">Part 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II: The Flow Map.” </w:t>
      </w:r>
      <w:r>
        <w:rPr>
          <w:bCs/>
          <w:i/>
          <w:iCs/>
          <w:color w:val="1D1C1D"/>
        </w:rPr>
        <w:t xml:space="preserve">Part II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III: The Ledger.” </w:t>
      </w:r>
      <w:r>
        <w:rPr>
          <w:bCs/>
          <w:i/>
          <w:iCs/>
          <w:color w:val="1D1C1D"/>
        </w:rPr>
        <w:t xml:space="preserve">Part III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IV: Events.” </w:t>
      </w:r>
      <w:r>
        <w:rPr>
          <w:bCs/>
          <w:i/>
          <w:iCs/>
          <w:color w:val="1D1C1D"/>
        </w:rPr>
        <w:t xml:space="preserve">Part IV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“What Must Be Conserved: Thirteen Conditions on the Missing Quantity for the Three-Dimensional Navier–Stokes Equations.” </w:t>
      </w:r>
      <w:r>
        <w:rPr>
          <w:bCs/>
          <w:i/>
          <w:iCs/>
          <w:color w:val="1D1C1D"/>
        </w:rPr>
        <w:t xml:space="preserve">Note;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The six entries from “Eight Conditions” on form a second program, on transport and the supercriticality gap in 3D Navier–Stokes; none of them resolves the regularity problem, and each says so. All six were produced with substantial AI assistance under my direction; I am responsible for the contents. Not yet independently reviewed.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