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Haider. </w:t>
      </w:r>
      <w:r>
        <w:rPr>
          <w:bCs/>
          <w:color w:val="1D1C1D"/>
        </w:rPr>
        <w:t xml:space="preserve">“Robust Adaptive Kolmogorov–Arnold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“Rigidity of the Euler–Arnold Form under Energy-Preserving Deformation.” </w:t>
      </w:r>
      <w:r>
        <w:rPr>
          <w:bCs/>
          <w:i/>
          <w:iCs/>
          <w:color w:val="1D1C1D"/>
        </w:rPr>
        <w:t xml:space="preserve">Paper I of five;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“The Isotropic Directional Obstruction for Cascade Operators.” </w:t>
      </w:r>
      <w:r>
        <w:rPr>
          <w:bCs/>
          <w:i/>
          <w:iCs/>
          <w:color w:val="1D1C1D"/>
        </w:rPr>
        <w:t xml:space="preserve">Paper II of five;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“Cross-Triad Rigidity for Cascade Operators.” </w:t>
      </w:r>
      <w:r>
        <w:rPr>
          <w:bCs/>
          <w:i/>
          <w:iCs/>
          <w:color w:val="1D1C1D"/>
        </w:rPr>
        <w:t xml:space="preserve">Paper III of five;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“Momentum Helicity Separates Cascade Operators from Euler–Arnold Operators.” </w:t>
      </w:r>
      <w:r>
        <w:rPr>
          <w:bCs/>
          <w:i/>
          <w:iCs/>
          <w:color w:val="1D1C1D"/>
        </w:rPr>
        <w:t xml:space="preserve">Paper IV of five;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 Beale–Kato–Majda Criterion for Right-Invariant Hˢ Metrics on SDiff(T³).” </w:t>
      </w:r>
      <w:r>
        <w:rPr>
          <w:bCs/>
          <w:i/>
          <w:iCs/>
          <w:color w:val="1D1C1D"/>
        </w:rPr>
        <w:t xml:space="preserve">Paper V of five;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Cs/>
          <w:i/>
          <w:iCs/>
          <w:color w:val="1D1C1D"/>
        </w:rPr>
        <w:t xml:space="preserve">All five of the above were produced with substantial AI assistance under my direction; I am responsible for the contents. Not yet independently reviewed.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Kolmogorov–Arnold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Kolmogorov–Arnold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