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DA974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158A7107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7B1EE1A0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6AC29DED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7316F07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4E7D48E4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  <w:sz w:val="12"/>
          <w:szCs w:val="12"/>
        </w:rPr>
      </w:pPr>
    </w:p>
    <w:p w14:paraId="37623B81" w14:textId="77777777" w:rsidR="003A4461" w:rsidRPr="008B2AA0" w:rsidRDefault="003A4461" w:rsidP="003A4461">
      <w:pPr>
        <w:spacing w:before="180" w:after="180" w:line="240" w:lineRule="auto"/>
        <w:ind w:right="180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EDUCATION</w:t>
      </w:r>
    </w:p>
    <w:p w14:paraId="4E919430" w14:textId="77777777" w:rsidR="003A4461" w:rsidRPr="008B2AA0" w:rsidRDefault="003A4461" w:rsidP="003A4461">
      <w:pPr>
        <w:spacing w:before="180" w:after="180" w:line="240" w:lineRule="auto"/>
        <w:ind w:right="180"/>
        <w:rPr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Kazakh-British Technical University (KBTU)</w:t>
        <w:br/>
      </w:r>
      <w:r>
        <w:rPr>
          <w:color w:val="1D1C1D"/>
          <w:sz w:val="20"/>
          <w:szCs w:val="20"/>
        </w:rPr>
        <w:t>B.Sc. in Automation and Control | GPA: 3.58 | Aug 2023 – July 2027 (Expected)</w:t>
      </w:r>
    </w:p>
    <w:p w14:paraId="41EEC47D" w14:textId="77777777" w:rsidR="003A4461" w:rsidRPr="008B2AA0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Relevant Coursework: </w:t>
      </w:r>
      <w:r>
        <w:rPr>
          <w:color w:val="1D1C1D"/>
          <w:sz w:val="20"/>
          <w:szCs w:val="20"/>
        </w:rPr>
        <w:t>Linear Algebra for Engineers, Differential Equations, Calculus of Complex Variables</w:t>
      </w:r>
    </w:p>
    <w:p w14:paraId="7FF4BB16" w14:textId="77777777" w:rsidR="003A4461" w:rsidRPr="008B2AA0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Military Department:</w:t>
      </w:r>
      <w:r>
        <w:rPr>
          <w:color w:val="1D1C1D"/>
          <w:sz w:val="20"/>
          <w:szCs w:val="20"/>
        </w:rPr>
        <w:t xml:space="preserve"> Sergeant of the Reserve (Completed June 2025).</w:t>
      </w:r>
    </w:p>
    <w:p w14:paraId="5EC230EF" w14:textId="1AF12BAF" w:rsidR="008B2AA0" w:rsidRPr="008B2AA0" w:rsidRDefault="008B2AA0" w:rsidP="008B2AA0">
      <w:pPr>
        <w:spacing w:before="180" w:after="180" w:line="240" w:lineRule="auto"/>
        <w:ind w:right="18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LANGUAGE PROFICIENCY</w:t>
      </w:r>
    </w:p>
    <w:p w14:paraId="0A0A2E6C" w14:textId="7A6211DF" w:rsidR="008B2AA0" w:rsidRPr="008B2AA0" w:rsidRDefault="008B2AA0" w:rsidP="008B2AA0">
      <w:pPr>
        <w:spacing w:before="180" w:after="180" w:line="240" w:lineRule="auto"/>
        <w:ind w:right="180"/>
        <w:rPr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IELTS Academic: </w:t>
      </w:r>
      <w:r>
        <w:rPr>
          <w:color w:val="1D1C1D"/>
          <w:sz w:val="20"/>
          <w:szCs w:val="20"/>
        </w:rPr>
        <w:t xml:space="preserve">8.0 | Issued Sep 2026 </w:t>
      </w:r>
    </w:p>
    <w:p w14:paraId="6ABA265D" w14:textId="77777777" w:rsidR="003A4461" w:rsidRPr="008B2AA0" w:rsidRDefault="003A4461" w:rsidP="003A4461">
      <w:pPr>
        <w:spacing w:before="180" w:after="180" w:line="240" w:lineRule="auto"/>
        <w:ind w:right="180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PUBLICATIONS AND PREPRINTS</w:t>
      </w:r>
    </w:p>
    <w:p w14:paraId="025EA2D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  <w:sz w:val="20"/>
          <w:szCs w:val="20"/>
        </w:rPr>
        <w:t>Major Revision, Journal of Process Control.</w:t>
      </w:r>
    </w:p>
    <w:p w14:paraId="039AD367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Salkimbayev, K.S. Haider. </w:t>
      </w:r>
      <w:r>
        <w:rPr>
          <w:bCs/>
          <w:color w:val="1D1C1D"/>
          <w:sz w:val="20"/>
          <w:szCs w:val="20"/>
        </w:rPr>
        <w:t xml:space="preserve">“Robust Adaptive Kolmogorov–Arnold Neural Control.” </w:t>
      </w:r>
      <w:r>
        <w:rPr>
          <w:bCs/>
          <w:i/>
          <w:iCs/>
          <w:color w:val="1D1C1D"/>
          <w:sz w:val="20"/>
          <w:szCs w:val="20"/>
        </w:rPr>
        <w:t>Under Review, International Journal of Adaptive Control and Signal Processing.</w:t>
      </w:r>
    </w:p>
    <w:p w14:paraId="65ACC519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  <w:sz w:val="20"/>
          <w:szCs w:val="20"/>
        </w:rPr>
        <w:t>Expository article; preprint, 34 pp.</w:t>
      </w:r>
    </w:p>
    <w:p w14:paraId="30124723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  <w:sz w:val="20"/>
          <w:szCs w:val="20"/>
        </w:rPr>
        <w:t>Paper I of eight; preprint, September 2026.</w:t>
      </w:r>
    </w:p>
    <w:p w14:paraId="483FC5F5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“The Isotropic Directional Obstruction for Cascade Operators.” </w:t>
      </w:r>
      <w:r>
        <w:rPr>
          <w:bCs/>
          <w:i/>
          <w:iCs/>
          <w:color w:val="1D1C1D"/>
          <w:sz w:val="20"/>
          <w:szCs w:val="20"/>
        </w:rPr>
        <w:t>Paper II of eight; preprint, September 2026.</w:t>
      </w:r>
    </w:p>
    <w:p w14:paraId="519A2357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“Cross-Triad Rigidity for Cascade Operators.” </w:t>
      </w:r>
      <w:r>
        <w:rPr>
          <w:bCs/>
          <w:i/>
          <w:iCs/>
          <w:color w:val="1D1C1D"/>
          <w:sz w:val="20"/>
          <w:szCs w:val="20"/>
        </w:rPr>
        <w:t>Paper III of eight; preprint, September 2026.</w:t>
      </w:r>
    </w:p>
    <w:p w14:paraId="214AAA8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“Momentum Helicity Separates Cascade Operators from Euler–Arnold Operators.” </w:t>
      </w:r>
      <w:r>
        <w:rPr>
          <w:bCs/>
          <w:i/>
          <w:iCs/>
          <w:color w:val="1D1C1D"/>
          <w:sz w:val="20"/>
          <w:szCs w:val="20"/>
        </w:rPr>
        <w:t>Paper IV of eight; preprint, September 2026.</w:t>
      </w:r>
    </w:p>
    <w:p w14:paraId="487DDD48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“A Beale–Kato–Majda Criterion for Right-Invariant Hˢ Metrics on SDiff(T³).” </w:t>
      </w:r>
      <w:r>
        <w:rPr>
          <w:bCs/>
          <w:i/>
          <w:iCs/>
          <w:color w:val="1D1C1D"/>
          <w:sz w:val="20"/>
          <w:szCs w:val="20"/>
        </w:rPr>
        <w:t>Paper V of eight; preprint, September 2026.</w:t>
      </w:r>
    </w:p>
    <w:p w14:paraId="1F9EE8E0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“Two-and-a-Half-Dimensional Flows of the Hˢ Euler–Arnold Equations: A Self-Gravitating Boussinesq System.” </w:t>
      </w:r>
      <w:r>
        <w:rPr>
          <w:bCs/>
          <w:i/>
          <w:iCs/>
          <w:color w:val="1D1C1D"/>
          <w:sz w:val="20"/>
          <w:szCs w:val="20"/>
        </w:rPr>
        <w:t>Paper VI of eight; preprint, September 2026.</w:t>
      </w:r>
    </w:p>
    <w:p w14:paraId="2E58AB6C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“Axisymmetric Flows with Swirl of the Hˢ Euler–Arnold Equations: A Reduction, Two Thresholds, and a Missing Wall.” </w:t>
      </w:r>
      <w:r>
        <w:rPr>
          <w:bCs/>
          <w:i/>
          <w:iCs/>
          <w:color w:val="1D1C1D"/>
          <w:sz w:val="20"/>
          <w:szCs w:val="20"/>
        </w:rPr>
        <w:t>Paper VII of eight; preprint, September 2026.</w:t>
      </w:r>
    </w:p>
    <w:p w14:paraId="1AB5241B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“A One-Dimensional Wall Model for the Hˢ Euler–Arnold Equations: Blowup Below s = 1/2, Regularity Above.” </w:t>
      </w:r>
      <w:r>
        <w:rPr>
          <w:bCs/>
          <w:i/>
          <w:iCs/>
          <w:color w:val="1D1C1D"/>
          <w:sz w:val="20"/>
          <w:szCs w:val="20"/>
        </w:rPr>
        <w:t>Paper VIII of eight; preprint, September 2026.</w:t>
      </w:r>
    </w:p>
    <w:p w14:paraId="3236D96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Cs/>
          <w:i/>
          <w:iCs/>
          <w:color w:val="1D1C1D"/>
          <w:sz w:val="20"/>
          <w:szCs w:val="20"/>
        </w:rPr>
        <w:t>All eight of the above were produced with substantial AI assistance under my direction; I am responsible for the contents. Not yet independently reviewed.</w:t>
      </w:r>
    </w:p>
    <w:p w14:paraId="7D401E95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“Eight Conditions on the Missing Estimate for the Three-Dimensional Navier–Stokes Equations.” </w:t>
      </w:r>
      <w:r>
        <w:rPr>
          <w:bCs/>
          <w:i/>
          <w:iCs/>
          <w:color w:val="1D1C1D"/>
          <w:sz w:val="20"/>
          <w:szCs w:val="20"/>
        </w:rPr>
        <w:t>Note; preprint, September 2026.</w:t>
      </w:r>
    </w:p>
    <w:p w14:paraId="1FE2413A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“Transport and the Supercriticality Gap in 3D Navier–Stokes, I.” </w:t>
      </w:r>
      <w:r>
        <w:rPr>
          <w:bCs/>
          <w:i/>
          <w:iCs/>
          <w:color w:val="1D1C1D"/>
          <w:sz w:val="20"/>
          <w:szCs w:val="20"/>
        </w:rPr>
        <w:t>Part I of four; preprint, September 2026.</w:t>
      </w:r>
    </w:p>
    <w:p w14:paraId="45ED14BA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“Transport and the Supercriticality Gap in 3D Navier–Stokes, II: The Flow Map.” </w:t>
      </w:r>
      <w:r>
        <w:rPr>
          <w:bCs/>
          <w:i/>
          <w:iCs/>
          <w:color w:val="1D1C1D"/>
          <w:sz w:val="20"/>
          <w:szCs w:val="20"/>
        </w:rPr>
        <w:t>Part II of four; preprint, September 2026.</w:t>
      </w:r>
    </w:p>
    <w:p w14:paraId="3341086D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“Transport and the Supercriticality Gap in 3D Navier–Stokes, III: The Ledger.” </w:t>
      </w:r>
      <w:r>
        <w:rPr>
          <w:bCs/>
          <w:i/>
          <w:iCs/>
          <w:color w:val="1D1C1D"/>
          <w:sz w:val="20"/>
          <w:szCs w:val="20"/>
        </w:rPr>
        <w:t>Part III of four; preprint, September 2026.</w:t>
      </w:r>
    </w:p>
    <w:p w14:paraId="60ED03C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“Transport and the Supercriticality Gap in 3D Navier–Stokes, IV: Events.” </w:t>
      </w:r>
      <w:r>
        <w:rPr>
          <w:bCs/>
          <w:i/>
          <w:iCs/>
          <w:color w:val="1D1C1D"/>
          <w:sz w:val="20"/>
          <w:szCs w:val="20"/>
        </w:rPr>
        <w:t>Part IV of four; preprint, September 2026.</w:t>
      </w:r>
    </w:p>
    <w:p w14:paraId="7FB7D73D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A. Salkimbayev. </w:t>
      </w:r>
      <w:r>
        <w:rPr>
          <w:bCs/>
          <w:color w:val="1D1C1D"/>
          <w:sz w:val="20"/>
          <w:szCs w:val="20"/>
        </w:rPr>
        <w:t xml:space="preserve">“What Must Be Conserved: Thirteen Conditions on the Missing Quantity for the Three-Dimensional Navier–Stokes Equations.” </w:t>
      </w:r>
      <w:r>
        <w:rPr>
          <w:bCs/>
          <w:i/>
          <w:iCs/>
          <w:color w:val="1D1C1D"/>
          <w:sz w:val="20"/>
          <w:szCs w:val="20"/>
        </w:rPr>
        <w:t>Note; preprint, September 2026.</w:t>
      </w:r>
    </w:p>
    <w:p w14:paraId="4AC94475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Cs/>
          <w:i/>
          <w:iCs/>
          <w:color w:val="1D1C1D"/>
          <w:sz w:val="20"/>
          <w:szCs w:val="20"/>
        </w:rPr>
        <w:t>The six entries from “Eight Conditions” on are a second program, on transport in 3D Navier–Stokes; none resolves the regularity problem. Also produced with substantial AI assistance under my direction; not yet independently reviewed.</w:t>
      </w:r>
    </w:p>
    <w:p w14:paraId="26541BBD" w14:textId="77777777" w:rsidR="003A4461" w:rsidRPr="008B2AA0" w:rsidRDefault="003A4461" w:rsidP="003A4461">
      <w:pPr>
        <w:spacing w:line="240" w:lineRule="auto"/>
        <w:ind w:right="180"/>
        <w:rPr>
          <w:b/>
          <w:color w:val="1D1C1D"/>
          <w:sz w:val="10"/>
          <w:szCs w:val="10"/>
        </w:rPr>
      </w:pPr>
    </w:p>
    <w:p w14:paraId="03B8F655" w14:textId="77777777" w:rsidR="003A4461" w:rsidRPr="008B2AA0" w:rsidRDefault="004602CA" w:rsidP="003A4461">
      <w:pPr>
        <w:spacing w:line="240" w:lineRule="auto"/>
        <w:ind w:right="180"/>
        <w:rPr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lastRenderedPageBreak/>
        <w:t>RESEARCH EXPERIENCE</w:t>
      </w:r>
    </w:p>
    <w:p w14:paraId="69CED818" w14:textId="77777777" w:rsidR="003A4461" w:rsidRPr="008B2AA0" w:rsidRDefault="004602CA" w:rsidP="003A4461">
      <w:pPr>
        <w:spacing w:line="240" w:lineRule="auto"/>
        <w:ind w:right="18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Independent Undergraduate Researcher | Kazakh-British Technical University</w:t>
      </w:r>
    </w:p>
    <w:p w14:paraId="3F44F9EB" w14:textId="77777777" w:rsidR="004602CA" w:rsidRPr="008B2AA0" w:rsidRDefault="004602CA" w:rsidP="003A4461">
      <w:pPr>
        <w:spacing w:line="240" w:lineRule="auto"/>
        <w:ind w:right="180"/>
        <w:rPr>
          <w:b/>
          <w:bCs/>
          <w:color w:val="1D1C1D"/>
          <w:sz w:val="10"/>
          <w:szCs w:val="10"/>
          <w:lang w:val="en-US"/>
        </w:rPr>
      </w:pPr>
    </w:p>
    <w:p w14:paraId="5434871C" w14:textId="77777777" w:rsidR="00DB5101" w:rsidRPr="008B2AA0" w:rsidRDefault="00DB5101" w:rsidP="003A4461">
      <w:p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i/>
          <w:iCs/>
          <w:color w:val="1D1C1D"/>
          <w:sz w:val="20"/>
          <w:szCs w:val="20"/>
          <w:lang w:val="en-US"/>
        </w:rPr>
        <w:t xml:space="preserve">Functional-Analytic Control Architecture &amp; PDEs </w:t>
      </w:r>
      <w:r>
        <w:rPr>
          <w:color w:val="1D1C1D"/>
          <w:sz w:val="20"/>
          <w:szCs w:val="20"/>
          <w:lang w:val="en-US"/>
        </w:rPr>
        <w:t>(Current)</w:t>
      </w:r>
    </w:p>
    <w:p w14:paraId="7E3015BC" w14:textId="77777777" w:rsidR="00DB5101" w:rsidRPr="008B2AA0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Developing a novel functional-analytic control architecture drawing upon operator theory and methodologies from Brezis, Evans and Stein.</w:t>
      </w:r>
    </w:p>
    <w:p w14:paraId="15BEC1F7" w14:textId="77777777" w:rsidR="00DB5101" w:rsidRPr="008B2AA0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Translating control frameworks into rigorous mathematical formulations applicable to the study of partial differential equations and fluid dynamics.</w:t>
      </w:r>
    </w:p>
    <w:p w14:paraId="5223CD2A" w14:textId="77777777" w:rsidR="002C7C4D" w:rsidRPr="008B2AA0" w:rsidRDefault="00000000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Wrote a 34-page expository construction of Leray–Hopf weak solutions to the 2D Navier–Stokes equations on the torus, proving uniqueness in two dimensions and showing where its three-dimensional strong-solution estimate stops.</w:t>
      </w:r>
    </w:p>
    <w:p w14:paraId="42829315" w14:textId="77777777" w:rsidR="00DB5101" w:rsidRPr="008B2AA0" w:rsidRDefault="00DB5101" w:rsidP="00DB5101">
      <w:pPr>
        <w:spacing w:line="240" w:lineRule="auto"/>
        <w:ind w:right="180"/>
        <w:rPr>
          <w:color w:val="1D1C1D"/>
          <w:sz w:val="10"/>
          <w:szCs w:val="10"/>
          <w:lang w:val="en-US"/>
        </w:rPr>
      </w:pPr>
    </w:p>
    <w:p w14:paraId="265169C4" w14:textId="77777777" w:rsidR="00DB5101" w:rsidRPr="008B2AA0" w:rsidRDefault="00DB5101" w:rsidP="00DB5101">
      <w:pPr>
        <w:spacing w:line="240" w:lineRule="auto"/>
        <w:ind w:right="180"/>
        <w:rPr>
          <w:color w:val="1D1C1D"/>
          <w:sz w:val="20"/>
          <w:szCs w:val="20"/>
        </w:rPr>
      </w:pPr>
      <w:r>
        <w:rPr>
          <w:i/>
          <w:iCs/>
          <w:color w:val="1D1C1D"/>
          <w:sz w:val="20"/>
          <w:szCs w:val="20"/>
        </w:rPr>
        <w:t>Adaptive Control &amp; Nonlinear Dynamical Systems</w:t>
      </w:r>
      <w:r>
        <w:rPr>
          <w:color w:val="1D1C1D"/>
          <w:sz w:val="20"/>
          <w:szCs w:val="20"/>
        </w:rPr>
        <w:t xml:space="preserve"> (Jan 2026 – Jul 2026)</w:t>
      </w:r>
    </w:p>
    <w:p w14:paraId="1C535594" w14:textId="77777777" w:rsidR="00DB5101" w:rsidRPr="008B2AA0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Developed a learning-based adaptive control architecture combining Recursive Least Squares with symbolic Kolmogorov–Arnold Networks (KANs).</w:t>
      </w:r>
    </w:p>
    <w:p w14:paraId="4406CC48" w14:textId="77777777" w:rsidR="00DB5101" w:rsidRPr="008B2AA0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Derived rigorous Lyapunov stability guarantees (ISS / UUB) over the physically realizable operating envelope, with a certificate that requires no persistent excitation.</w:t>
      </w:r>
    </w:p>
    <w:p w14:paraId="53D7C4DD" w14:textId="77777777" w:rsidR="00DB5101" w:rsidRPr="008B2AA0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Evaluated the algorithm on a quadruple-tank benchmark via a 50-seed Monte-Carlo campaign in Python, demonstrating a branch-free per-step runtime bounded a priori and a 7% aggregate tracking improvement over LTV-MPC.</w:t>
      </w:r>
    </w:p>
    <w:p w14:paraId="17A842E8" w14:textId="77777777" w:rsidR="00DB5101" w:rsidRPr="008B2AA0" w:rsidRDefault="00DB5101" w:rsidP="00DB5101">
      <w:pPr>
        <w:spacing w:line="240" w:lineRule="auto"/>
        <w:ind w:right="180"/>
        <w:rPr>
          <w:color w:val="1D1C1D"/>
          <w:sz w:val="10"/>
          <w:szCs w:val="10"/>
          <w:lang w:val="en-US"/>
        </w:rPr>
      </w:pPr>
    </w:p>
    <w:p w14:paraId="2D1B71FC" w14:textId="77777777" w:rsidR="00DB5101" w:rsidRPr="008B2AA0" w:rsidRDefault="00DB5101" w:rsidP="00DB5101">
      <w:pPr>
        <w:spacing w:line="240" w:lineRule="auto"/>
        <w:ind w:right="180"/>
        <w:rPr>
          <w:i/>
          <w:iCs/>
          <w:color w:val="1D1C1D"/>
          <w:sz w:val="20"/>
          <w:szCs w:val="20"/>
        </w:rPr>
      </w:pPr>
      <w:r>
        <w:rPr>
          <w:i/>
          <w:iCs/>
          <w:color w:val="1D1C1D"/>
          <w:sz w:val="20"/>
          <w:szCs w:val="20"/>
        </w:rPr>
        <w:t>Constant-Time Explicit Control Laws from MPC</w:t>
      </w:r>
      <w:r>
        <w:rPr>
          <w:sz w:val="20"/>
          <w:szCs w:val="20"/>
        </w:rPr>
        <w:t xml:space="preserve"> </w:t>
      </w:r>
      <w:r>
        <w:rPr>
          <w:color w:val="1D1C1D"/>
          <w:sz w:val="20"/>
          <w:szCs w:val="20"/>
        </w:rPr>
        <w:t>(Nov 2025 – Apr 2026)</w:t>
      </w:r>
      <w:r>
        <w:rPr>
          <w:i/>
          <w:iCs/>
          <w:color w:val="1D1C1D"/>
          <w:sz w:val="20"/>
          <w:szCs w:val="20"/>
        </w:rPr>
        <w:t xml:space="preserve"> </w:t>
      </w:r>
    </w:p>
    <w:p w14:paraId="10F090C3" w14:textId="77777777" w:rsidR="00DB5101" w:rsidRPr="008B2AA0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77EE55DD" w14:textId="77777777" w:rsidR="00DB5101" w:rsidRPr="008B2AA0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0D60F500" w14:textId="77777777" w:rsidR="00DB5101" w:rsidRPr="008B2AA0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>
        <w:rPr>
          <w:color w:val="1D1C1D"/>
          <w:sz w:val="20"/>
          <w:szCs w:val="20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5BA3C243" w14:textId="77777777" w:rsidR="00DB5101" w:rsidRPr="008B2AA0" w:rsidRDefault="00DB5101" w:rsidP="00DB5101">
      <w:pPr>
        <w:pStyle w:val="ListParagraph"/>
        <w:spacing w:line="240" w:lineRule="auto"/>
        <w:ind w:right="180"/>
        <w:rPr>
          <w:color w:val="1D1C1D"/>
          <w:sz w:val="10"/>
          <w:szCs w:val="10"/>
        </w:rPr>
      </w:pPr>
    </w:p>
    <w:p w14:paraId="34606632" w14:textId="77777777" w:rsidR="00DB5101" w:rsidRPr="008B2AA0" w:rsidRDefault="00DB5101" w:rsidP="00DB5101">
      <w:pPr>
        <w:spacing w:line="240" w:lineRule="auto"/>
        <w:ind w:right="18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ADVANCED INDEPENDENT STUDY</w:t>
      </w:r>
    </w:p>
    <w:p w14:paraId="713D6E8B" w14:textId="77777777" w:rsidR="002C7C4D" w:rsidRPr="008B2AA0" w:rsidRDefault="00000000">
      <w:pPr>
        <w:spacing w:line="240" w:lineRule="auto"/>
        <w:ind w:right="18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Self-directed graduate sequence in analysis and PDE, directed toward the rigorous study of fluid dynamics:</w:t>
      </w:r>
    </w:p>
    <w:p w14:paraId="5CC6B74A" w14:textId="77777777" w:rsidR="002C7C4D" w:rsidRPr="008B2AA0" w:rsidRDefault="00000000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Completed: </w:t>
      </w:r>
      <w:r>
        <w:rPr>
          <w:bCs/>
          <w:i/>
          <w:iCs/>
          <w:color w:val="1D1C1D"/>
          <w:sz w:val="20"/>
          <w:szCs w:val="20"/>
        </w:rPr>
        <w:t xml:space="preserve">Introduction to Real Analysis </w:t>
      </w:r>
      <w:r>
        <w:rPr>
          <w:bCs/>
          <w:color w:val="1D1C1D"/>
          <w:sz w:val="20"/>
          <w:szCs w:val="20"/>
        </w:rPr>
        <w:t xml:space="preserve">(William F. Trench); </w:t>
      </w:r>
      <w:r>
        <w:rPr>
          <w:bCs/>
          <w:i/>
          <w:iCs/>
          <w:color w:val="1D1C1D"/>
          <w:sz w:val="20"/>
          <w:szCs w:val="20"/>
        </w:rPr>
        <w:t xml:space="preserve">Functional Analysis, Sobolev Spaces and Partial Differential Equations </w:t>
      </w:r>
      <w:r>
        <w:rPr>
          <w:bCs/>
          <w:color w:val="1D1C1D"/>
          <w:sz w:val="20"/>
          <w:szCs w:val="20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  <w:sz w:val="20"/>
          <w:szCs w:val="20"/>
        </w:rPr>
        <w:t xml:space="preserve">Partial Differential Equations </w:t>
      </w:r>
      <w:r>
        <w:rPr>
          <w:bCs/>
          <w:color w:val="1D1C1D"/>
          <w:sz w:val="20"/>
          <w:szCs w:val="20"/>
        </w:rPr>
        <w:t>(Lawrence C. Evans), Chs. 5–6 — Sobolev spaces and second-order elliptic theory.</w:t>
      </w:r>
    </w:p>
    <w:p w14:paraId="4E728832" w14:textId="77777777" w:rsidR="002C7C4D" w:rsidRPr="008B2AA0" w:rsidRDefault="00000000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In progress: </w:t>
      </w:r>
      <w:r>
        <w:rPr>
          <w:bCs/>
          <w:i/>
          <w:iCs/>
          <w:color w:val="1D1C1D"/>
          <w:sz w:val="20"/>
          <w:szCs w:val="20"/>
        </w:rPr>
        <w:t xml:space="preserve">Real Analysis: Measure Theory, Integration, and Hilbert Spaces </w:t>
      </w:r>
      <w:r>
        <w:rPr>
          <w:bCs/>
          <w:color w:val="1D1C1D"/>
          <w:sz w:val="20"/>
          <w:szCs w:val="20"/>
        </w:rPr>
        <w:t>(Elias M. Stein &amp; Rami Shakarchi), Chs. 1–3.</w:t>
      </w:r>
    </w:p>
    <w:p w14:paraId="1ADFB8BD" w14:textId="77777777" w:rsidR="002C7C4D" w:rsidRPr="008B2AA0" w:rsidRDefault="00000000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Planned (Fall 2026): </w:t>
      </w:r>
      <w:r>
        <w:rPr>
          <w:bCs/>
          <w:i/>
          <w:iCs/>
          <w:color w:val="1D1C1D"/>
          <w:sz w:val="20"/>
          <w:szCs w:val="20"/>
        </w:rPr>
        <w:t xml:space="preserve">Measure Theory and Fine Properties of Functions </w:t>
      </w:r>
      <w:r>
        <w:rPr>
          <w:bCs/>
          <w:color w:val="1D1C1D"/>
          <w:sz w:val="20"/>
          <w:szCs w:val="20"/>
        </w:rPr>
        <w:t xml:space="preserve">(Lawrence C. Evans &amp; Ronald F. Gariepy); </w:t>
      </w:r>
      <w:r>
        <w:rPr>
          <w:bCs/>
          <w:i/>
          <w:iCs/>
          <w:color w:val="1D1C1D"/>
          <w:sz w:val="20"/>
          <w:szCs w:val="20"/>
        </w:rPr>
        <w:t xml:space="preserve">Singular Integrals and Differentiability Properties of Functions </w:t>
      </w:r>
      <w:r>
        <w:rPr>
          <w:bCs/>
          <w:color w:val="1D1C1D"/>
          <w:sz w:val="20"/>
          <w:szCs w:val="20"/>
        </w:rPr>
        <w:t>(Elias M. Stein).</w:t>
      </w:r>
    </w:p>
    <w:p w14:paraId="13BEE495" w14:textId="77777777" w:rsidR="002C7C4D" w:rsidRDefault="002C7C4D">
      <w:pPr>
        <w:spacing w:line="240" w:lineRule="auto"/>
        <w:ind w:right="180"/>
        <w:rPr>
          <w:b/>
          <w:bCs/>
          <w:color w:val="1D1C1D"/>
          <w:sz w:val="12"/>
          <w:szCs w:val="12"/>
        </w:rPr>
      </w:pPr>
    </w:p>
    <w:p w14:paraId="1D53EB44" w14:textId="77777777" w:rsidR="00F73B18" w:rsidRPr="008B2AA0" w:rsidRDefault="00F73B18" w:rsidP="003A4461">
      <w:pPr>
        <w:spacing w:line="240" w:lineRule="auto"/>
        <w:ind w:right="18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TECHNICAL &amp; COMPUTATIONAL SKILLS</w:t>
        <w:br/>
      </w:r>
    </w:p>
    <w:p w14:paraId="37755FF4" w14:textId="77777777" w:rsidR="006C55AC" w:rsidRPr="008B2AA0" w:rsidRDefault="00F73B18" w:rsidP="00F73B18">
      <w:pPr>
        <w:spacing w:line="240" w:lineRule="auto"/>
        <w:ind w:right="180"/>
        <w:rPr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 xml:space="preserve">Mathematics &amp; Control Systems: </w:t>
      </w:r>
      <w:r>
        <w:rPr>
          <w:color w:val="1D1C1D"/>
          <w:sz w:val="20"/>
          <w:szCs w:val="20"/>
        </w:rPr>
        <w:t>Operator theory, partial differential equations, semigroup theory, Lyapunov stability analysis, adaptive control, nonlinear control systems</w:t>
      </w:r>
    </w:p>
    <w:p w14:paraId="2CEEDBB9" w14:textId="77777777" w:rsidR="002F3DC9" w:rsidRPr="008B2AA0" w:rsidRDefault="002F3DC9" w:rsidP="00F73B18">
      <w:pPr>
        <w:spacing w:line="240" w:lineRule="auto"/>
        <w:ind w:right="180"/>
        <w:rPr>
          <w:color w:val="1D1C1D"/>
          <w:sz w:val="10"/>
          <w:szCs w:val="10"/>
        </w:rPr>
      </w:pPr>
    </w:p>
    <w:p w14:paraId="62701801" w14:textId="77777777" w:rsidR="002F3DC9" w:rsidRPr="008B2AA0" w:rsidRDefault="002F3DC9" w:rsidP="00F73B18">
      <w:pPr>
        <w:spacing w:line="240" w:lineRule="auto"/>
        <w:ind w:right="180"/>
        <w:rPr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Scientific Machine Learning:</w:t>
      </w:r>
      <w:r>
        <w:rPr>
          <w:color w:val="1D1C1D"/>
          <w:sz w:val="20"/>
          <w:szCs w:val="20"/>
        </w:rPr>
        <w:t xml:space="preserve"> Kolmogorov–Arnold Networks, system identification, embedded SciML.</w:t>
        <w:br/>
        <w:br/>
      </w:r>
      <w:r>
        <w:rPr>
          <w:b/>
          <w:bCs/>
          <w:color w:val="1D1C1D"/>
          <w:sz w:val="20"/>
          <w:szCs w:val="20"/>
        </w:rPr>
        <w:t>Programming &amp; Hardware:</w:t>
      </w:r>
      <w:r>
        <w:rPr>
          <w:color w:val="1D1C1D"/>
          <w:sz w:val="20"/>
          <w:szCs w:val="20"/>
        </w:rPr>
        <w:t xml:space="preserve"> Python (NumPy, SciPy, matplotlib, pandas, PyTorch), C/C++, STM32 CubeIDE, LaTeX (VSCode).</w:t>
      </w:r>
    </w:p>
    <w:p w14:paraId="0155C95D" w14:textId="77777777" w:rsidR="002F3DC9" w:rsidRDefault="002F3DC9" w:rsidP="00F73B18">
      <w:pPr>
        <w:spacing w:line="240" w:lineRule="auto"/>
        <w:ind w:right="180"/>
        <w:rPr>
          <w:color w:val="1D1C1D"/>
          <w:sz w:val="12"/>
          <w:szCs w:val="12"/>
        </w:rPr>
      </w:pPr>
    </w:p>
    <w:p w14:paraId="5C58F07F" w14:textId="77777777" w:rsidR="008B2AA0" w:rsidRDefault="008B2AA0" w:rsidP="00F73B18">
      <w:pPr>
        <w:spacing w:line="240" w:lineRule="auto"/>
        <w:ind w:right="180"/>
        <w:rPr>
          <w:color w:val="1D1C1D"/>
          <w:sz w:val="12"/>
          <w:szCs w:val="12"/>
        </w:rPr>
      </w:pPr>
    </w:p>
    <w:p w14:paraId="6D428934" w14:textId="77777777" w:rsidR="008B2AA0" w:rsidRPr="008B2AA0" w:rsidRDefault="008B2AA0" w:rsidP="00F73B18">
      <w:pPr>
        <w:spacing w:line="240" w:lineRule="auto"/>
        <w:ind w:right="180"/>
        <w:rPr>
          <w:color w:val="1D1C1D"/>
        </w:rPr>
      </w:pPr>
    </w:p>
    <w:sectPr w:rsidR="008B2AA0" w:rsidRPr="008B2AA0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864" w:right="864" w:bottom="864" w:left="86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8166F" w14:textId="77777777" w:rsidR="0008188D" w:rsidRDefault="0008188D">
      <w:pPr>
        <w:spacing w:line="240" w:lineRule="auto"/>
      </w:pPr>
      <w:r>
        <w:separator/>
      </w:r>
    </w:p>
  </w:endnote>
  <w:endnote w:type="continuationSeparator" w:id="0">
    <w:p w14:paraId="034E4FC8" w14:textId="77777777" w:rsidR="0008188D" w:rsidRDefault="000818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60101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1D789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FEDEF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CC48B" w14:textId="77777777" w:rsidR="0008188D" w:rsidRDefault="0008188D">
      <w:pPr>
        <w:spacing w:line="240" w:lineRule="auto"/>
      </w:pPr>
      <w:r>
        <w:separator/>
      </w:r>
    </w:p>
  </w:footnote>
  <w:footnote w:type="continuationSeparator" w:id="0">
    <w:p w14:paraId="629223DD" w14:textId="77777777" w:rsidR="0008188D" w:rsidRDefault="000818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50BC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7360D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12194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8188D"/>
    <w:rsid w:val="000C0784"/>
    <w:rsid w:val="001337FC"/>
    <w:rsid w:val="00190507"/>
    <w:rsid w:val="002C7C4D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8B2AA0"/>
    <w:rsid w:val="00A75338"/>
    <w:rsid w:val="00B12C95"/>
    <w:rsid w:val="00C12068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FA996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1"/>
      <w:szCs w:val="21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http://schemas.microsoft.com/office/2006/metadata/properties"/>
    <ds:schemaRef ds:uri="http://schemas.microsoft.com/office/infopath/2007/PartnerControls"/>
    <ds:schemaRef ds:uri="8fcac951-c519-4ac6-bd89-e5352741c09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3</cp:revision>
  <cp:lastPrinted>2026-07-02T18:46:00Z</cp:lastPrinted>
  <dcterms:created xsi:type="dcterms:W3CDTF">2026-09-03T16:56:00Z</dcterms:created>
  <dcterms:modified xsi:type="dcterms:W3CDTF">2026-10-01T13:27:00Z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