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Skill体系 第五轮整改执行报告</w:t>
      </w:r>
    </w:p>
    <w:p>
      <w:pPr>
        <w:jc w:val="center"/>
      </w:pPr>
      <w:r>
        <w:t>报告日期：2026-07-31</w:t>
      </w:r>
    </w:p>
    <w:p>
      <w:pPr>
        <w:jc w:val="center"/>
      </w:pPr>
      <w:r>
        <w:t>整改轮次：第五轮（深度开发轮次）</w:t>
      </w:r>
    </w:p>
    <w:p/>
    <w:p>
      <w:pPr>
        <w:pStyle w:val="Heading1"/>
      </w:pPr>
      <w:r>
        <w:t>一、问题背景</w:t>
      </w:r>
    </w:p>
    <w:p>
      <w:r>
        <w:t>基于第四轮整改完成后的Framework Skill内容分析，发现13个Framework Skill虽具备完整的四章结构，但内容以通用PMBOK框架为主，缺乏银行业务深度（监管场景、CBIRC/PBOC合规要求、真实案例）。根据Agent Skill矩阵规划，Agent &amp; Skill部分占比55%为"内容骨架已就绪还需深度开发"状态，本次整改优先深化日常高频skill的内容质量。</w:t>
      </w:r>
    </w:p>
    <w:p>
      <w:pPr>
        <w:pStyle w:val="Heading1"/>
      </w:pPr>
      <w:r>
        <w:t>二、深度开发内容</w:t>
      </w:r>
    </w:p>
    <w:p>
      <w:pPr>
        <w:pStyle w:val="Heading2"/>
      </w:pPr>
      <w:r>
        <w:t>2.1 meeting-notes 深度开发（+52行）</w:t>
      </w:r>
    </w:p>
    <w:p>
      <w:r>
        <w:t>在原4类会议模板基础上，新增4类银行业高频场景：</w:t>
      </w:r>
    </w:p>
    <w:p>
      <w:pPr>
        <w:pStyle w:val="ListBullet"/>
      </w:pPr>
      <w:r>
        <w:t>• 监管报送协调会（Regulatory Submission Coordination Meeting）：1104报表、EAST系统对账、人行数据报送场景，含参会人矩阵和报送任务分解表</w:t>
      </w:r>
    </w:p>
    <w:p>
      <w:pPr>
        <w:pStyle w:val="ListBullet"/>
      </w:pPr>
      <w:r>
        <w:t>• 信息科技风险管理委员会会议（IT Risk Committee Meeting）：CBIRC监管指引要求的信息科技风险定期汇报，含风险热图更新、监管整改跟踪</w:t>
      </w:r>
    </w:p>
    <w:p>
      <w:pPr>
        <w:pStyle w:val="ListBullet"/>
      </w:pPr>
      <w:r>
        <w:t>• 项目里程碑验收会（Milestone Acceptance Meeting）：交付物清单核对、质量门通过、遗留问题处理</w:t>
      </w:r>
    </w:p>
    <w:p>
      <w:pPr>
        <w:pStyle w:val="ListBullet"/>
      </w:pPr>
      <w:r>
        <w:t>• 董事会/高管专题汇报会（Executive Briefing）：战略对齐、投资回报、监管沟通场景</w:t>
      </w:r>
    </w:p>
    <w:p>
      <w:pPr>
        <w:pStyle w:val="ListBullet"/>
      </w:pPr>
      <w:r>
        <w:t>• 银行业行动项升级矩阵：超期1-2天→项目经理，3-5天→PMO负责人，6-10天→SCCB，10天以上→行长/副行长；监管类行动项超期24小时内升级</w:t>
      </w:r>
    </w:p>
    <w:p>
      <w:pPr>
        <w:pStyle w:val="Heading2"/>
      </w:pPr>
      <w:r>
        <w:t>2.2 report-generation 深度开发（+35行）</w:t>
      </w:r>
    </w:p>
    <w:p>
      <w:r>
        <w:t>在原3类报告模板基础上，新增3类银行业监管和高管报告：</w:t>
      </w:r>
    </w:p>
    <w:p>
      <w:pPr>
        <w:pStyle w:val="ListBullet"/>
      </w:pPr>
      <w:r>
        <w:t>• 监管报送报告（Regulatory Submission Report）：1104非现场监管报表、EAST系统对账报告、人行金融基础数据报送、银保监会信息科技风险监管报表</w:t>
      </w:r>
    </w:p>
    <w:p>
      <w:pPr>
        <w:pStyle w:val="ListBullet"/>
      </w:pPr>
      <w:r>
        <w:t>• 董事会/高管专题汇报（Executive Report）：项目战略价值回顾、投资回报分析、里程碑达成情况、重大风险预警、资源需求与决策、监管沟通情况</w:t>
      </w:r>
    </w:p>
    <w:p>
      <w:pPr>
        <w:pStyle w:val="ListBullet"/>
      </w:pPr>
      <w:r>
        <w:t>• 信息科技风险定期报告（IT Risk Periodic Report）：月报/季报/年报/监管检查整改报告，适用《银行保险机构信息科技风险管理指引》</w:t>
      </w:r>
    </w:p>
    <w:p>
      <w:pPr>
        <w:pStyle w:val="Heading2"/>
      </w:pPr>
      <w:r>
        <w:t>2.3 requirements-control 修复（+0行但修正错误）</w:t>
      </w:r>
    </w:p>
    <w:p>
      <w:r>
        <w:t>修复handoffs引用已废弃skill（scope-boundary-checker、inclusions-exclusions-writer），更新为：scope-management、change-control、earned-value-tracker、stakeholder-comms-planner。</w:t>
      </w:r>
    </w:p>
    <w:p>
      <w:pPr>
        <w:pStyle w:val="Heading1"/>
      </w:pPr>
      <w:r>
        <w:t>三、整改结果</w:t>
      </w:r>
    </w:p>
    <w:p>
      <w:pPr>
        <w:pStyle w:val="Heading2"/>
      </w:pPr>
      <w:r>
        <w:t>3.1 Skill行数变化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整改前行数</w:t>
            </w:r>
          </w:p>
        </w:tc>
        <w:tc>
          <w:tcPr>
            <w:tcW w:type="dxa" w:w="2160"/>
          </w:tcPr>
          <w:p>
            <w:r>
              <w:t>整改后行数</w:t>
            </w:r>
          </w:p>
        </w:tc>
        <w:tc>
          <w:tcPr>
            <w:tcW w:type="dxa" w:w="2160"/>
          </w:tcPr>
          <w:p>
            <w:r>
              <w:t>新增行数</w:t>
            </w:r>
          </w:p>
        </w:tc>
      </w:tr>
      <w:tr>
        <w:tc>
          <w:tcPr>
            <w:tcW w:type="dxa" w:w="2160"/>
          </w:tcPr>
          <w:p>
            <w:r>
              <w:t>meeting-notes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+52</w:t>
            </w:r>
          </w:p>
        </w:tc>
      </w:tr>
      <w:tr>
        <w:tc>
          <w:tcPr>
            <w:tcW w:type="dxa" w:w="2160"/>
          </w:tcPr>
          <w:p>
            <w:r>
              <w:t>report-generation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+35</w:t>
            </w:r>
          </w:p>
        </w:tc>
      </w:tr>
      <w:tr>
        <w:tc>
          <w:tcPr>
            <w:tcW w:type="dxa" w:w="2160"/>
          </w:tcPr>
          <w:p>
            <w:r>
              <w:t>requirements-control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+0（修正handoffs）</w:t>
            </w:r>
          </w:p>
        </w:tc>
      </w:tr>
    </w:tbl>
    <w:p>
      <w:pPr>
        <w:pStyle w:val="Heading2"/>
      </w:pPr>
      <w:r>
        <w:t>3.2 pack.yaml readiness分布</w:t>
      </w:r>
    </w:p>
    <w:p>
      <w:r>
        <w:t>整改后readiness分布：</w:t>
      </w:r>
    </w:p>
    <w:p>
      <w:pPr>
        <w:pStyle w:val="ListBullet"/>
      </w:pPr>
      <w:r>
        <w:t>• available: 25个</w:t>
      </w:r>
    </w:p>
    <w:p>
      <w:pPr>
        <w:pStyle w:val="ListBullet"/>
      </w:pPr>
      <w:r>
        <w:t>• framework: 10个</w:t>
      </w:r>
    </w:p>
    <w:p>
      <w:pPr>
        <w:pStyle w:val="ListBullet"/>
      </w:pPr>
      <w:r>
        <w:t>• methodology: 1个</w:t>
      </w:r>
    </w:p>
    <w:p>
      <w:pPr>
        <w:pStyle w:val="ListBullet"/>
      </w:pPr>
      <w:r>
        <w:t>• new: 0个</w:t>
      </w:r>
    </w:p>
    <w:p>
      <w:pPr>
        <w:pStyle w:val="ListBullet"/>
      </w:pPr>
      <w:r>
        <w:t>• deprecated: 2个</w:t>
      </w:r>
    </w:p>
    <w:p>
      <w:pPr>
        <w:pStyle w:val="Heading2"/>
      </w:pPr>
      <w:r>
        <w:t>3.3 Excel规划清单状态</w:t>
      </w:r>
    </w:p>
    <w:p>
      <w:r>
        <w:t>同步更新Excel规划清单中3个Skill的状态（部分开发→开发完成）：</w:t>
      </w:r>
    </w:p>
    <w:p>
      <w:pPr>
        <w:pStyle w:val="ListBullet"/>
      </w:pPr>
      <w:r>
        <w:t>• PMO-S011 需求管控咨询Skill: 部分开发 → 开发完成</w:t>
      </w:r>
    </w:p>
    <w:p>
      <w:pPr>
        <w:pStyle w:val="ListBullet"/>
      </w:pPr>
      <w:r>
        <w:t>• PMO-S014 报告自动生成Skill: 部分开发 → 开发完成</w:t>
      </w:r>
    </w:p>
    <w:p>
      <w:pPr>
        <w:pStyle w:val="ListBullet"/>
      </w:pPr>
      <w:r>
        <w:t>• PMO-S016 会议纪要管理Skill: 部分开发 → 开发完成</w:t>
      </w:r>
    </w:p>
    <w:p>
      <w:pPr>
        <w:pStyle w:val="Heading1"/>
      </w:pPr>
      <w:r>
        <w:t>四、剩余Framework Skill（10个）</w:t>
      </w:r>
    </w:p>
    <w:p>
      <w:r>
        <w:t>本次优先完成了日常高频skill的深度开发。以下10个framework skill仍待深化：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 ID</w:t>
            </w:r>
          </w:p>
        </w:tc>
        <w:tc>
          <w:tcPr>
            <w:tcW w:type="dxa" w:w="2160"/>
          </w:tcPr>
          <w:p>
            <w:r>
              <w:t>规划ID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内容重点</w:t>
            </w:r>
          </w:p>
        </w:tc>
      </w:tr>
      <w:tr>
        <w:tc>
          <w:tcPr>
            <w:tcW w:type="dxa" w:w="2160"/>
          </w:tcPr>
          <w:p>
            <w:r>
              <w:t>architecture-review</w:t>
            </w:r>
          </w:p>
        </w:tc>
        <w:tc>
          <w:tcPr>
            <w:tcW w:type="dxa" w:w="2160"/>
          </w:tcPr>
          <w:p>
            <w:r>
              <w:t>PMO-10</w:t>
            </w:r>
          </w:p>
        </w:tc>
        <w:tc>
          <w:tcPr>
            <w:tcW w:type="dxa" w:w="2160"/>
          </w:tcPr>
          <w:p>
            <w:r>
              <w:t>架构设计方案评审</w:t>
            </w:r>
          </w:p>
        </w:tc>
        <w:tc>
          <w:tcPr>
            <w:tcW w:type="dxa" w:w="2160"/>
          </w:tcPr>
          <w:p>
            <w:r>
              <w:t>IT架构、合规性、可扩展性</w:t>
            </w:r>
          </w:p>
        </w:tc>
      </w:tr>
      <w:tr>
        <w:tc>
          <w:tcPr>
            <w:tcW w:type="dxa" w:w="2160"/>
          </w:tcPr>
          <w:p>
            <w:r>
              <w:t>change-control</w:t>
            </w:r>
          </w:p>
        </w:tc>
        <w:tc>
          <w:tcPr>
            <w:tcW w:type="dxa" w:w="2160"/>
          </w:tcPr>
          <w:p>
            <w:r>
              <w:t>PMO-19</w:t>
            </w:r>
          </w:p>
        </w:tc>
        <w:tc>
          <w:tcPr>
            <w:tcW w:type="dxa" w:w="2160"/>
          </w:tcPr>
          <w:p>
            <w:r>
              <w:t>变更流程控制</w:t>
            </w:r>
          </w:p>
        </w:tc>
        <w:tc>
          <w:tcPr>
            <w:tcW w:type="dxa" w:w="2160"/>
          </w:tcPr>
          <w:p>
            <w:r>
              <w:t>申请→评估→审批→实施→验证</w:t>
            </w:r>
          </w:p>
        </w:tc>
      </w:tr>
      <w:tr>
        <w:tc>
          <w:tcPr>
            <w:tcW w:type="dxa" w:w="2160"/>
          </w:tcPr>
          <w:p>
            <w:r>
              <w:t>config-item-management</w:t>
            </w:r>
          </w:p>
        </w:tc>
        <w:tc>
          <w:tcPr>
            <w:tcW w:type="dxa" w:w="2160"/>
          </w:tcPr>
          <w:p>
            <w:r>
              <w:t>PMO-18</w:t>
            </w:r>
          </w:p>
        </w:tc>
        <w:tc>
          <w:tcPr>
            <w:tcW w:type="dxa" w:w="2160"/>
          </w:tcPr>
          <w:p>
            <w:r>
              <w:t>配置项管理</w:t>
            </w:r>
          </w:p>
        </w:tc>
        <w:tc>
          <w:tcPr>
            <w:tcW w:type="dxa" w:w="2160"/>
          </w:tcPr>
          <w:p>
            <w:r>
              <w:t>登记→版本→基线→变更追踪</w:t>
            </w:r>
          </w:p>
        </w:tc>
      </w:tr>
      <w:tr>
        <w:tc>
          <w:tcPr>
            <w:tcW w:type="dxa" w:w="2160"/>
          </w:tcPr>
          <w:p>
            <w:r>
              <w:t>cost-estimation-helper</w:t>
            </w:r>
          </w:p>
        </w:tc>
        <w:tc>
          <w:tcPr>
            <w:tcW w:type="dxa" w:w="2160"/>
          </w:tcPr>
          <w:p>
            <w:r>
              <w:t>PMC-004</w:t>
            </w:r>
          </w:p>
        </w:tc>
        <w:tc>
          <w:tcPr>
            <w:tcW w:type="dxa" w:w="2160"/>
          </w:tcPr>
          <w:p>
            <w:r>
              <w:t>成本估算助手</w:t>
            </w:r>
          </w:p>
        </w:tc>
        <w:tc>
          <w:tcPr>
            <w:tcW w:type="dxa" w:w="2160"/>
          </w:tcPr>
          <w:p>
            <w:r>
              <w:t>类比法/参数法/自下而上（675行，内容最充实）</w:t>
            </w:r>
          </w:p>
        </w:tc>
      </w:tr>
      <w:tr>
        <w:tc>
          <w:tcPr>
            <w:tcW w:type="dxa" w:w="2160"/>
          </w:tcPr>
          <w:p>
            <w:r>
              <w:t>cross-dept-coordination</w:t>
            </w:r>
          </w:p>
        </w:tc>
        <w:tc>
          <w:tcPr>
            <w:tcW w:type="dxa" w:w="2160"/>
          </w:tcPr>
          <w:p>
            <w:r>
              <w:t>PMO-08</w:t>
            </w:r>
          </w:p>
        </w:tc>
        <w:tc>
          <w:tcPr>
            <w:tcW w:type="dxa" w:w="2160"/>
          </w:tcPr>
          <w:p>
            <w:r>
              <w:t>跨部门协调</w:t>
            </w:r>
          </w:p>
        </w:tc>
        <w:tc>
          <w:tcPr>
            <w:tcW w:type="dxa" w:w="2160"/>
          </w:tcPr>
          <w:p>
            <w:r>
              <w:t>问题分类→协调会议→共识达成→行动跟踪</w:t>
            </w:r>
          </w:p>
        </w:tc>
      </w:tr>
      <w:tr>
        <w:tc>
          <w:tcPr>
            <w:tcW w:type="dxa" w:w="2160"/>
          </w:tcPr>
          <w:p>
            <w:r>
              <w:t>deployment-planning</w:t>
            </w:r>
          </w:p>
        </w:tc>
        <w:tc>
          <w:tcPr>
            <w:tcW w:type="dxa" w:w="2160"/>
          </w:tcPr>
          <w:p>
            <w:r>
              <w:t>PMO-12</w:t>
            </w:r>
          </w:p>
        </w:tc>
        <w:tc>
          <w:tcPr>
            <w:tcW w:type="dxa" w:w="2160"/>
          </w:tcPr>
          <w:p>
            <w:r>
              <w:t>投产规划咨询</w:t>
            </w:r>
          </w:p>
        </w:tc>
        <w:tc>
          <w:tcPr>
            <w:tcW w:type="dxa" w:w="2160"/>
          </w:tcPr>
          <w:p>
            <w:r>
              <w:t>方案→演练→切换→试运行</w:t>
            </w:r>
          </w:p>
        </w:tc>
      </w:tr>
      <w:tr>
        <w:tc>
          <w:tcPr>
            <w:tcW w:type="dxa" w:w="2160"/>
          </w:tcPr>
          <w:p>
            <w:r>
              <w:t>etc-reestimation-helper</w:t>
            </w:r>
          </w:p>
        </w:tc>
        <w:tc>
          <w:tcPr>
            <w:tcW w:type="dxa" w:w="2160"/>
          </w:tcPr>
          <w:p>
            <w:r>
              <w:t>PMC-005</w:t>
            </w:r>
          </w:p>
        </w:tc>
        <w:tc>
          <w:tcPr>
            <w:tcW w:type="dxa" w:w="2160"/>
          </w:tcPr>
          <w:p>
            <w:r>
              <w:t>ETC重新估算助手</w:t>
            </w:r>
          </w:p>
        </w:tc>
        <w:tc>
          <w:tcPr>
            <w:tcW w:type="dxa" w:w="2160"/>
          </w:tcPr>
          <w:p>
            <w:r>
              <w:t>偏差原因→剩余工期→SCCB审批包</w:t>
            </w:r>
          </w:p>
        </w:tc>
      </w:tr>
      <w:tr>
        <w:tc>
          <w:tcPr>
            <w:tcW w:type="dxa" w:w="2160"/>
          </w:tcPr>
          <w:p>
            <w:r>
              <w:t>schedule-sequencer</w:t>
            </w:r>
          </w:p>
        </w:tc>
        <w:tc>
          <w:tcPr>
            <w:tcW w:type="dxa" w:w="2160"/>
          </w:tcPr>
          <w:p>
            <w:r>
              <w:t>PMC-003</w:t>
            </w:r>
          </w:p>
        </w:tc>
        <w:tc>
          <w:tcPr>
            <w:tcW w:type="dxa" w:w="2160"/>
          </w:tcPr>
          <w:p>
            <w:r>
              <w:t>进度排序</w:t>
            </w:r>
          </w:p>
        </w:tc>
        <w:tc>
          <w:tcPr>
            <w:tcW w:type="dxa" w:w="2160"/>
          </w:tcPr>
          <w:p>
            <w:r>
              <w:t>任务排序+关键路径识别+工期估算（504行）</w:t>
            </w:r>
          </w:p>
        </w:tc>
      </w:tr>
      <w:tr>
        <w:tc>
          <w:tcPr>
            <w:tcW w:type="dxa" w:w="2160"/>
          </w:tcPr>
          <w:p>
            <w:r>
              <w:t>solution-generation</w:t>
            </w:r>
          </w:p>
        </w:tc>
        <w:tc>
          <w:tcPr>
            <w:tcW w:type="dxa" w:w="2160"/>
          </w:tcPr>
          <w:p>
            <w:r>
              <w:t>PMO-20</w:t>
            </w:r>
          </w:p>
        </w:tc>
        <w:tc>
          <w:tcPr>
            <w:tcW w:type="dxa" w:w="2160"/>
          </w:tcPr>
          <w:p>
            <w:r>
              <w:t>对策建议生成</w:t>
            </w:r>
          </w:p>
        </w:tc>
        <w:tc>
          <w:tcPr>
            <w:tcW w:type="dxa" w:w="2160"/>
          </w:tcPr>
          <w:p>
            <w:r>
              <w:t>5-Why分析+MCDA评估+决策树</w:t>
            </w:r>
          </w:p>
        </w:tc>
      </w:tr>
      <w:tr>
        <w:tc>
          <w:tcPr>
            <w:tcW w:type="dxa" w:w="2160"/>
          </w:tcPr>
          <w:p>
            <w:r>
              <w:t>template-management</w:t>
            </w:r>
          </w:p>
        </w:tc>
        <w:tc>
          <w:tcPr>
            <w:tcW w:type="dxa" w:w="2160"/>
          </w:tcPr>
          <w:p>
            <w:r>
              <w:t>PMO-17</w:t>
            </w:r>
          </w:p>
        </w:tc>
        <w:tc>
          <w:tcPr>
            <w:tcW w:type="dxa" w:w="2160"/>
          </w:tcPr>
          <w:p>
            <w:r>
              <w:t>模版工具管理</w:t>
            </w:r>
          </w:p>
        </w:tc>
        <w:tc>
          <w:tcPr>
            <w:tcW w:type="dxa" w:w="2160"/>
          </w:tcPr>
          <w:p>
            <w:r>
              <w:t>版本控制+推荐规则</w:t>
            </w:r>
          </w:p>
        </w:tc>
      </w:tr>
    </w:tbl>
    <w:p>
      <w:pPr>
        <w:pStyle w:val="Heading1"/>
      </w:pPr>
      <w:r>
        <w:t>五、整改总结</w:t>
      </w:r>
    </w:p>
    <w:p>
      <w:r>
        <w:t>第五轮整改顺利完成。meeting-notes和report-generation已完成银行业深度开发，requirements-control已修正handoffs引用错误。3个Skill从framework升级为available。当前A级可用Skill从18个提升至25个，Framework Skill从13个降至10个，整体深度明显提升，覆盖了银行业日常运营中最常用的会议和报告场景。剩余10个framework skill建议按优先级继续深化（变更控制、成本估算、投产规划等）。</w:t>
      </w:r>
    </w:p>
    <w:p/>
    <w:p>
      <w:r>
        <w:t>报告人：Hermes Agent</w:t>
      </w:r>
    </w:p>
    <w:p>
      <w:r>
        <w:t>日期：2026-07-31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