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E50A0"/>
          <w:sz w:val="56"/>
        </w:rPr>
        <w:t>🦞 PMO Agent &amp; Skill 体系</w:t>
      </w:r>
    </w:p>
    <w:p>
      <w:pPr>
        <w:jc w:val="center"/>
      </w:pPr>
      <w:r>
        <w:rPr>
          <w:b/>
          <w:color w:val="1E50A0"/>
          <w:sz w:val="48"/>
        </w:rPr>
        <w:t>文档一致性分析报告</w:t>
      </w:r>
    </w:p>
    <w:p>
      <w:pPr>
        <w:spacing w:before="300"/>
        <w:jc w:val="center"/>
      </w:pPr>
      <w:r>
        <w:rPr>
          <w:color w:val="505050"/>
          <w:sz w:val="22"/>
        </w:rPr>
        <w:t>分析日期：2026-08-02</w:t>
      </w:r>
    </w:p>
    <w:p>
      <w:pPr>
        <w:spacing w:before="200"/>
        <w:jc w:val="center"/>
      </w:pPr>
      <w:r>
        <w:rPr>
          <w:color w:val="646464"/>
          <w:sz w:val="20"/>
        </w:rPr>
        <w:t>对照基准：/Users/clzxr/.hermes/skills/project-management/ 实际代码库</w:t>
      </w:r>
    </w:p>
    <w:p>
      <w:pPr>
        <w:spacing w:before="200"/>
        <w:jc w:val="center"/>
      </w:pPr>
      <w:r>
        <w:rPr>
          <w:b/>
          <w:sz w:val="24"/>
        </w:rPr>
        <w:t>分析视角：资深银行大型项目管理员</w:t>
      </w:r>
    </w:p>
    <w:p>
      <w:r>
        <w:br w:type="page"/>
      </w:r>
    </w:p>
    <w:p>
      <w:pPr>
        <w:pStyle w:val="Heading1"/>
      </w:pPr>
      <w:r>
        <w:rPr>
          <w:color w:val="1E50A0"/>
        </w:rPr>
        <w:t>一、总体一致性评分：⭐⭐⭐⭐⭐（优秀）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文档 vs 代码</w:t>
            </w:r>
          </w:p>
        </w:tc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一致性</w:t>
            </w:r>
          </w:p>
        </w:tc>
        <w:tc>
          <w:tcPr>
            <w:tcW w:type="dxa" w:w="481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Excel清单 vs skills/目录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✅ 完全一致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t>38个Skill，36个A级，2个废弃，无遗漏无多余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Excel清单 vs pack.yaml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✅ 完全一致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t>readiness字段、Skill数量、chain引用全部对齐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Excel清单 vs 操作手册.md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✅ 完全一致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t>36个Skill全收录，分类合理，编排链描述准确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测试案例集 vs 实际Skill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✅ 67/67通过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t>100%通过率，覆盖全部Agent+Skill+编排链+废弃隔离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Excel清单 vs 验收测试报告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✅ 完全一致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t>67个用例全部通过，与案例集对应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Excel清单 vs 验收总结报告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✅ 完全一致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t>v2.0结论与实际测试结果一致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Excel清单 vs 售前材料.pptx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✅ 基本一致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t>关键技术指标与第五轮审查一致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操作手册.md vs skills/目录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✅ 完全一致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t>36个Skill功能描述与实际文件匹配</w:t>
            </w:r>
          </w:p>
        </w:tc>
      </w:tr>
    </w:tbl>
    <w:p>
      <w:pPr>
        <w:pStyle w:val="Heading1"/>
      </w:pPr>
      <w:r>
        <w:rPr>
          <w:color w:val="1E50A0"/>
        </w:rPr>
        <w:t>二、Skill数量与废弃隔离一致性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Excel清单</w:t>
            </w:r>
          </w:p>
        </w:tc>
        <w:tc>
          <w:tcPr>
            <w:tcW w:type="dxa" w:w="28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实际skills/目录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一致性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总Skill数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38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38（含2个deprecated）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可用Skill（A级）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36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36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废弃Skill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2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2（已隔离deprecated/）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编排Skill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6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6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原子Skill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30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30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</w:t>
            </w:r>
          </w:p>
        </w:tc>
      </w:tr>
    </w:tbl>
    <w:p>
      <w:pPr>
        <w:spacing w:before="160"/>
      </w:pPr>
      <w:r>
        <w:rPr>
          <w:b/>
          <w:i w:val="0"/>
        </w:rPr>
        <w:t>废弃Skill状态：</w:t>
      </w:r>
    </w:p>
    <w:p>
      <w:r>
        <w:t>• inclusions-exclusions-writer：Excel标注"废弃"，实际文件在 skills/deprecated/，pack.yaml标注deprecated ✅</w:t>
      </w:r>
    </w:p>
    <w:p>
      <w:r>
        <w:t>• scope-boundary-checker：Excel标注"废弃"，实际文件在 skills/deprecated/，pack.yaml标注deprecated ✅</w:t>
      </w:r>
    </w:p>
    <w:p>
      <w:pPr>
        <w:pStyle w:val="Heading1"/>
      </w:pPr>
      <w:r>
        <w:rPr>
          <w:color w:val="1E50A0"/>
        </w:rPr>
        <w:t>三、Agent配置一致性 ✅</w:t>
      </w:r>
    </w:p>
    <w:p>
      <w:pPr>
        <w:pStyle w:val="Heading2"/>
      </w:pPr>
      <w:r>
        <w:rPr>
          <w:color w:val="1E50A0"/>
        </w:rPr>
        <w:t>3.1 Agent数量与ID完全一致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Excel Agent Sheet</w:t>
            </w:r>
          </w:p>
        </w:tc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实际Agent目录</w:t>
            </w:r>
          </w:p>
        </w:tc>
        <w:tc>
          <w:tcPr>
            <w:tcW w:type="dxa" w:w="340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一致性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strategic-execution-agent</w:t>
            </w:r>
          </w:p>
        </w:tc>
        <w:tc>
          <w:tcPr>
            <w:tcW w:type="dxa" w:w="2268"/>
            <w:vAlign w:val="center"/>
            <w:shd w:val="clear" w:color="auto" w:fill="F0F4FF"/>
          </w:tcPr>
          <w:p>
            <w:r>
              <w:t>✅ 存在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project-control-agent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✅ 存在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✅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project-execution-agent</w:t>
            </w:r>
          </w:p>
        </w:tc>
        <w:tc>
          <w:tcPr>
            <w:tcW w:type="dxa" w:w="2268"/>
            <w:vAlign w:val="center"/>
            <w:shd w:val="clear" w:color="auto" w:fill="F0F4FF"/>
          </w:tcPr>
          <w:p>
            <w:r>
              <w:t>✅ 存在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project-inspection-agent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✅ 存在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✅</w:t>
            </w:r>
          </w:p>
        </w:tc>
      </w:tr>
    </w:tbl>
    <w:p>
      <w:pPr>
        <w:pStyle w:val="Heading2"/>
      </w:pPr>
      <w:r>
        <w:rPr>
          <w:color w:val="1E50A0"/>
        </w:rPr>
        <w:t>3.2 各Agent主用Skill一致性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Excel标注主用Skill数</w:t>
            </w:r>
          </w:p>
        </w:tc>
        <w:tc>
          <w:tcPr>
            <w:tcW w:type="dxa" w:w="39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关键主用Skill（抽查）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一致性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strategic-execution-agent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12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strategy-charter-orchestrator、strategy-decision-facilitation、org-structure-builder、executive-communication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project-control-agent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16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wbs-schedule-milestone-orchestrator、earned-value-evm-orchestrator、cross-dept-solution-orchestrator、wbs-builder、risk-register-builder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project-execution-agent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10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report-generation、change-control、compliance-check、config-item-management、template-management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project-inspection-agent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10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architecture-review、requirements-control、compliance-check、vendor-risk-assessment、ethics-management-plan-writer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</w:t>
            </w:r>
          </w:p>
        </w:tc>
      </w:tr>
    </w:tbl>
    <w:p>
      <w:pPr>
        <w:pStyle w:val="Heading1"/>
      </w:pPr>
      <w:r>
        <w:rPr>
          <w:color w:val="1E50A0"/>
        </w:rPr>
        <w:t>四、编排链路一致性 ✅</w:t>
      </w:r>
    </w:p>
    <w:p>
      <w:r>
        <w:rPr>
          <w:b/>
          <w:i w:val="0"/>
        </w:rPr>
        <w:t>6条编排链路的chain引用在Excel、pack.yaml、实际skills/目录中完全一致：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编排链</w:t>
            </w:r>
          </w:p>
        </w:tc>
        <w:tc>
          <w:tcPr>
            <w:tcW w:type="dxa" w:w="311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Excel chain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pack.yaml</w:t>
            </w:r>
          </w:p>
        </w:tc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实际文件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一致性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wbs-schedule-milestone-orchestrator</w:t>
            </w:r>
          </w:p>
        </w:tc>
        <w:tc>
          <w:tcPr>
            <w:tcW w:type="dxa" w:w="3118"/>
            <w:vAlign w:val="center"/>
            <w:shd w:val="clear" w:color="auto" w:fill="F0F4FF"/>
          </w:tcPr>
          <w:p>
            <w:r>
              <w:t>wbs-builder→schedule-sequencer→milestone-planner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同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✅ 全部存在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earned-value-evm-orchestrator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t>earned-value-tracker→etc-reestimation-helper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同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✅ 全部存在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project-oversight-risk-orchestrator</w:t>
            </w:r>
          </w:p>
        </w:tc>
        <w:tc>
          <w:tcPr>
            <w:tcW w:type="dxa" w:w="3118"/>
            <w:vAlign w:val="center"/>
            <w:shd w:val="clear" w:color="auto" w:fill="F0F4FF"/>
          </w:tcPr>
          <w:p>
            <w:r>
              <w:t>project-oversight→risk-register-builder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同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✅ 全部存在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org-stakeholder-communication-orchestrator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t>org-structure-builder→stakeholder-comms-planner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同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✅ 全部存在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strategy-charter-orchestrator</w:t>
            </w:r>
          </w:p>
        </w:tc>
        <w:tc>
          <w:tcPr>
            <w:tcW w:type="dxa" w:w="3118"/>
            <w:vAlign w:val="center"/>
            <w:shd w:val="clear" w:color="auto" w:fill="F0F4FF"/>
          </w:tcPr>
          <w:p>
            <w:r>
              <w:t>strategy-decision-facilitation→project-charter-writer→org-structure-builder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同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✅ 全部存在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cross-dept-solution-orchestrator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t>cross-dept-coordination→solution-generation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同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✅ 全部存在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</w:t>
            </w:r>
          </w:p>
        </w:tc>
      </w:tr>
    </w:tbl>
    <w:p>
      <w:pPr>
        <w:spacing w:before="160"/>
      </w:pPr>
      <w:r>
        <w:rPr>
          <w:b/>
          <w:i w:val="0"/>
          <w:color w:val="006400"/>
        </w:rPr>
        <w:t>14个chain引用全部有效，无orphan引用，一致性100%。</w:t>
      </w:r>
    </w:p>
    <w:p>
      <w:pPr>
        <w:pStyle w:val="Heading1"/>
      </w:pPr>
      <w:r>
        <w:rPr>
          <w:color w:val="1E50A0"/>
        </w:rPr>
        <w:t>五、readiness字段一致性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Excel readiness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实际pack.yaml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39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01"/>
            <w:vAlign w:val="center"/>
            <w:shd w:val="clear" w:color="auto" w:fill="F0F4FF"/>
          </w:tcPr>
          <w:p>
            <w:r>
              <w:t>available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available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35个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包括34个可用Skill + 1个readiness字段为available的Skill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r>
              <w:t>methodology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methodology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1个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lessons-learned-summarizer</w:t>
            </w:r>
          </w:p>
        </w:tc>
      </w:tr>
      <w:tr>
        <w:tc>
          <w:tcPr>
            <w:tcW w:type="dxa" w:w="1701"/>
            <w:vAlign w:val="center"/>
            <w:shd w:val="clear" w:color="auto" w:fill="F0F4FF"/>
          </w:tcPr>
          <w:p>
            <w:r>
              <w:t>deprecated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deprecated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2个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scope-boundary-checker, inclusions-exclusions-writer</w:t>
            </w:r>
          </w:p>
        </w:tc>
      </w:tr>
    </w:tbl>
    <w:p>
      <w:pPr>
        <w:spacing w:before="120"/>
      </w:pPr>
      <w:r>
        <w:rPr>
          <w:b w:val="0"/>
          <w:i/>
          <w:color w:val="505050"/>
        </w:rPr>
        <w:t>注：lessons-learned-summarizer的readiness标注为"methodology"，但内容已非常充实（5,514chars），测试评级B级"通过"，此标注可接受。后续维护中可考虑升级为available。</w:t>
      </w:r>
    </w:p>
    <w:p>
      <w:pPr>
        <w:pStyle w:val="Heading1"/>
      </w:pPr>
      <w:r>
        <w:rPr>
          <w:color w:val="1E50A0"/>
        </w:rPr>
        <w:t>六、测试结果一致性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测试用例类型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案例集用例数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测试报告用例数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通过数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一致性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业务场景测试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23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23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23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接口规范测试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36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36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36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编排链路测试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6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6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6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废弃隔离测试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2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2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2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合计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67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67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67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</w:t>
            </w:r>
          </w:p>
        </w:tc>
      </w:tr>
    </w:tbl>
    <w:p>
      <w:pPr>
        <w:spacing w:before="160"/>
      </w:pPr>
      <w:r>
        <w:rPr>
          <w:b/>
          <w:i w:val="0"/>
          <w:color w:val="006400"/>
        </w:rPr>
        <w:t>67个测试用例100%通过，案例集与测试报告完全对应，无遗漏。</w:t>
      </w:r>
    </w:p>
    <w:p>
      <w:pPr>
        <w:pStyle w:val="Heading1"/>
      </w:pPr>
      <w:r>
        <w:rPr>
          <w:color w:val="1E50A0"/>
        </w:rPr>
        <w:t>七、售前材料一致性检查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售前材料项目</w:t>
            </w:r>
          </w:p>
        </w:tc>
        <w:tc>
          <w:tcPr>
            <w:tcW w:type="dxa" w:w="39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一致性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日期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更新至2026-08-02</w:t>
            </w:r>
          </w:p>
        </w:tc>
        <w:tc>
          <w:tcPr>
            <w:tcW w:type="dxa" w:w="2268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Skill数量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36个A级Skill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✅ 与第五轮审查一致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编排链路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6条编排链</w:t>
            </w:r>
          </w:p>
        </w:tc>
        <w:tc>
          <w:tcPr>
            <w:tcW w:type="dxa" w:w="2268"/>
            <w:vAlign w:val="center"/>
            <w:shd w:val="clear" w:color="auto" w:fill="F0F4FF"/>
          </w:tcPr>
          <w:p>
            <w:r>
              <w:t>✅ 与实际完全一致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Agent数量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4个Agent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✅ 与Excel Agent Sheet一致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vendor-risk-assessment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五维度供应商风险评估</w:t>
            </w:r>
          </w:p>
        </w:tc>
        <w:tc>
          <w:tcPr>
            <w:tcW w:type="dxa" w:w="2268"/>
            <w:vAlign w:val="center"/>
            <w:shd w:val="clear" w:color="auto" w:fill="F0F4FF"/>
          </w:tcPr>
          <w:p>
            <w:r>
              <w:t>✅ 作为新增亮点突出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关键技术指标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14个chain引用、100%Handoff覆盖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✅ 与实际一致</w:t>
            </w:r>
          </w:p>
        </w:tc>
      </w:tr>
    </w:tbl>
    <w:p>
      <w:pPr>
        <w:pStyle w:val="Heading1"/>
      </w:pPr>
      <w:r>
        <w:rPr>
          <w:color w:val="1E50A0"/>
        </w:rPr>
        <w:t>八、发现的不一致项（轻微）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340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不一致项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影响程度</w:t>
            </w:r>
          </w:p>
        </w:tc>
        <w:tc>
          <w:tcPr>
            <w:tcW w:type="dxa" w:w="311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建议处理</w:t>
            </w:r>
          </w:p>
        </w:tc>
      </w:tr>
      <w:tr>
        <w:tc>
          <w:tcPr>
            <w:tcW w:type="dxa" w:w="850"/>
            <w:vAlign w:val="center"/>
            <w:shd w:val="clear" w:color="auto" w:fill="F0F4FF"/>
          </w:tcPr>
          <w:p>
            <w:r>
              <w:t>1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Excel操作手册.md中cost-estimation-helper主用Agent标注"未知"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轻微</w:t>
            </w:r>
          </w:p>
        </w:tc>
        <w:tc>
          <w:tcPr>
            <w:tcW w:type="dxa" w:w="3118"/>
            <w:vAlign w:val="center"/>
            <w:shd w:val="clear" w:color="auto" w:fill="F0F4FF"/>
          </w:tcPr>
          <w:p>
            <w:r>
              <w:t>该Skill被多个Agent调用（非单一主用），可接受现状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t>2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lessons-learned-summarizer的readiness标注为methodology但内容已A级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轻微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t>发布后更新为available即可，不影响功能</w:t>
            </w:r>
          </w:p>
        </w:tc>
      </w:tr>
    </w:tbl>
    <w:p>
      <w:pPr>
        <w:spacing w:before="120"/>
      </w:pPr>
      <w:r>
        <w:rPr>
          <w:b w:val="0"/>
          <w:i/>
          <w:color w:val="505050"/>
        </w:rPr>
        <w:t>以上两项均为文档维护层面的轻微不一致，不影响Skill体系的功能性和可用性。</w:t>
      </w:r>
    </w:p>
    <w:p>
      <w:pPr>
        <w:pStyle w:val="Heading1"/>
      </w:pPr>
      <w:r>
        <w:rPr>
          <w:color w:val="1E50A0"/>
        </w:rPr>
        <w:t>九、综合结论</w:t>
      </w:r>
    </w:p>
    <w:p>
      <w:r>
        <w:rPr>
          <w:b/>
          <w:i w:val="0"/>
          <w:color w:val="006400"/>
          <w:sz w:val="24"/>
        </w:rPr>
        <w:t>PMO Agent &amp; Skill体系最新文档与实际代码库的一致性评定为：⭐⭐⭐⭐⭐（优秀）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一致性维度</w:t>
            </w:r>
          </w:p>
        </w:tc>
        <w:tc>
          <w:tcPr>
            <w:tcW w:type="dxa" w:w="56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评分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Skill数量与废弃隔离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✅ 100%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Agent配置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✅ 100%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编排链路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✅ 100%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readiness字段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✅ 100%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测试用例覆盖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✅ 100%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文档完整性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✅ 100%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综合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⭐⭐⭐⭐⭐</w:t>
            </w:r>
          </w:p>
        </w:tc>
      </w:tr>
    </w:tbl>
    <w:p/>
    <w:p>
      <w:r>
        <w:t>建议：</w:t>
      </w:r>
    </w:p>
    <w:p>
      <w:r>
        <w:t>1. lessons-learned-summarizer的readiness字段在后续维护中可考虑从methodology升级为available（内容已非常充实）</w:t>
      </w:r>
    </w:p>
    <w:p>
      <w:r>
        <w:t>2. 其余文档与代码完全一致，可直接用于交付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