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PMO领域 Agent Skill 验收总结报告</w:t>
      </w:r>
    </w:p>
    <w:p>
      <w:pPr>
        <w:jc w:val="center"/>
      </w:pPr>
      <w:r>
        <w:t>2026年08月29日</w:t>
      </w:r>
    </w:p>
    <w:p/>
    <w:p>
      <w:pPr>
        <w:pStyle w:val="Heading1"/>
      </w:pPr>
      <w:r>
        <w:t>1 整体完成情况分析</w:t>
      </w:r>
    </w:p>
    <w:p>
      <w:pPr>
        <w:pStyle w:val="Heading2"/>
      </w:pPr>
      <w:r>
        <w:t>1.1 完成情况概述</w:t>
      </w:r>
    </w:p>
    <w:p>
      <w:r>
        <w:t>PMO领域共完成4个Agent和37个Skill的规划与建设，所有资产均已通过验收测试，具备上线条件。</w:t>
      </w:r>
    </w:p>
    <w:p/>
    <w:p>
      <w:r>
        <w:rPr>
          <w:b/>
        </w:rPr>
        <w:t>Agent完成情况：</w:t>
      </w:r>
      <w:r>
        <w:t>PMO领域规划共4个Agent（战略推动智能体、项目管控智能体、项目执行智能体、项目检查智能体），完成4个，开发中0个，未启动0个。4个Agent均已完成元数据规范化（version: v0.8.0、domain: PMO、usage_scope: 仅本地使用、name字段完整、pack: project-management-pack）并通过验收测试，具备部署就绪状态。</w:t>
      </w:r>
    </w:p>
    <w:p/>
    <w:p>
      <w:r>
        <w:rPr>
          <w:b/>
        </w:rPr>
        <w:t>Skill完成情况：</w:t>
      </w:r>
      <w:r>
        <w:t>PMO领域规划共37个Skill，覆盖项目全生命周期管理（启动、规划、执行、监控、收尾）全过程。37个Skill全部完成，所有Skill均已补充Purpose（≥30字符）、Procedure（≥30字符）、Quality Gates（≥20字符）章节内容，通过SKILL.md质量准确率测试（111/111通过），具备部署就绪状态。</w:t>
      </w:r>
    </w:p>
    <w:p/>
    <w:p>
      <w:pPr>
        <w:pStyle w:val="Heading3"/>
      </w:pPr>
      <w:r>
        <w:t>Agent清单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Agent英文名</w:t>
            </w:r>
          </w:p>
        </w:tc>
        <w:tc>
          <w:tcPr>
            <w:tcW w:type="dxa" w:w="1234"/>
          </w:tcPr>
          <w:p>
            <w:r>
              <w:t>Agent名称</w:t>
            </w:r>
          </w:p>
        </w:tc>
        <w:tc>
          <w:tcPr>
            <w:tcW w:type="dxa" w:w="1234"/>
          </w:tcPr>
          <w:p>
            <w:r>
              <w:t>Agent说明</w:t>
            </w:r>
          </w:p>
        </w:tc>
        <w:tc>
          <w:tcPr>
            <w:tcW w:type="dxa" w:w="1234"/>
          </w:tcPr>
          <w:p>
            <w:r>
              <w:t>涉及业务场景</w:t>
            </w:r>
          </w:p>
        </w:tc>
        <w:tc>
          <w:tcPr>
            <w:tcW w:type="dxa" w:w="1234"/>
          </w:tcPr>
          <w:p>
            <w:r>
              <w:t>所属部门</w:t>
            </w:r>
          </w:p>
        </w:tc>
        <w:tc>
          <w:tcPr>
            <w:tcW w:type="dxa" w:w="1234"/>
          </w:tcPr>
          <w:p>
            <w:r>
              <w:t>完成情况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project-control-agent</w:t>
            </w:r>
          </w:p>
        </w:tc>
        <w:tc>
          <w:tcPr>
            <w:tcW w:type="dxa" w:w="1234"/>
          </w:tcPr>
          <w:p>
            <w:r>
              <w:t>项目管控智能体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项目全局掌控、总体计划制定与跟踪、风险识别与管理、跨部门问题协调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project-execution-agent</w:t>
            </w:r>
          </w:p>
        </w:tc>
        <w:tc>
          <w:tcPr>
            <w:tcW w:type="dxa" w:w="1234"/>
          </w:tcPr>
          <w:p>
            <w:r>
              <w:t>项目执行智能体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项目日常执行跟踪、周报/月报生成、会议纪要管理、规范检查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project-inspection-agent</w:t>
            </w:r>
          </w:p>
        </w:tc>
        <w:tc>
          <w:tcPr>
            <w:tcW w:type="dxa" w:w="1234"/>
          </w:tcPr>
          <w:p>
            <w:r>
              <w:t>项目检查智能体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项目质量审查、供应商评估、合规审计与检查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strategic-execution-agent</w:t>
            </w:r>
          </w:p>
        </w:tc>
        <w:tc>
          <w:tcPr>
            <w:tcW w:type="dxa" w:w="1234"/>
          </w:tcPr>
          <w:p>
            <w:r>
              <w:t>战略推动智能体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战略决策推动、重大项目决策落实、标准原则制定、组织架构构建、高层沟通管理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</w:tr>
    </w:tbl>
    <w:p/>
    <w:p>
      <w:pPr>
        <w:pStyle w:val="Heading3"/>
      </w:pPr>
      <w:r>
        <w:t>Skill清单（37个）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Skill ID</w:t>
            </w:r>
          </w:p>
        </w:tc>
        <w:tc>
          <w:tcPr>
            <w:tcW w:type="dxa" w:w="1234"/>
          </w:tcPr>
          <w:p>
            <w:r>
              <w:t>Skill名称</w:t>
            </w:r>
          </w:p>
        </w:tc>
        <w:tc>
          <w:tcPr>
            <w:tcW w:type="dxa" w:w="1234"/>
          </w:tcPr>
          <w:p>
            <w:r>
              <w:t>技能说明</w:t>
            </w:r>
          </w:p>
        </w:tc>
        <w:tc>
          <w:tcPr>
            <w:tcW w:type="dxa" w:w="1234"/>
          </w:tcPr>
          <w:p>
            <w:r>
              <w:t>所属部门</w:t>
            </w:r>
          </w:p>
        </w:tc>
        <w:tc>
          <w:tcPr>
            <w:tcW w:type="dxa" w:w="1234"/>
          </w:tcPr>
          <w:p>
            <w:r>
              <w:t>完成情况</w:t>
            </w:r>
          </w:p>
        </w:tc>
        <w:tc>
          <w:tcPr>
            <w:tcW w:type="dxa" w:w="1234"/>
          </w:tcPr>
          <w:p>
            <w:r>
              <w:t>完成时间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architecture-review</w:t>
            </w:r>
          </w:p>
        </w:tc>
        <w:tc>
          <w:tcPr>
            <w:tcW w:type="dxa" w:w="1234"/>
          </w:tcPr>
          <w:p>
            <w:r>
              <w:t>架构评审</w:t>
            </w:r>
          </w:p>
        </w:tc>
        <w:tc>
          <w:tcPr>
            <w:tcW w:type="dxa" w:w="1234"/>
          </w:tcPr>
          <w:p>
            <w:r>
              <w:t>对架构设计方案进行全面评审，验证其完整性、合规性、可扩展性和技术先进性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change-control</w:t>
            </w:r>
          </w:p>
        </w:tc>
        <w:tc>
          <w:tcPr>
            <w:tcW w:type="dxa" w:w="1234"/>
          </w:tcPr>
          <w:p>
            <w:r>
              <w:t>变更控制</w:t>
            </w:r>
          </w:p>
        </w:tc>
        <w:tc>
          <w:tcPr>
            <w:tcW w:type="dxa" w:w="1234"/>
          </w:tcPr>
          <w:p>
            <w:r>
              <w:t>建立和管理项目变更控制流程，确保所有变更经过评估、审批和实施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closure-report-writer</w:t>
            </w:r>
          </w:p>
        </w:tc>
        <w:tc>
          <w:tcPr>
            <w:tcW w:type="dxa" w:w="1234"/>
          </w:tcPr>
          <w:p>
            <w:r>
              <w:t>项目关闭</w:t>
            </w:r>
          </w:p>
        </w:tc>
        <w:tc>
          <w:tcPr>
            <w:tcW w:type="dxa" w:w="1234"/>
          </w:tcPr>
          <w:p>
            <w:r>
              <w:t>正式关闭已完成或取消的项目，归档所有项目记录，输出项目关闭报告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compliance-check</w:t>
            </w:r>
          </w:p>
        </w:tc>
        <w:tc>
          <w:tcPr>
            <w:tcW w:type="dxa" w:w="1234"/>
          </w:tcPr>
          <w:p>
            <w:r>
              <w:t>合规检查</w:t>
            </w:r>
          </w:p>
        </w:tc>
        <w:tc>
          <w:tcPr>
            <w:tcW w:type="dxa" w:w="1234"/>
          </w:tcPr>
          <w:p>
            <w:r>
              <w:t>确定项目管理制度和合规标准，按周期执行合规性检查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config-item-management</w:t>
            </w:r>
          </w:p>
        </w:tc>
        <w:tc>
          <w:tcPr>
            <w:tcW w:type="dxa" w:w="1234"/>
          </w:tcPr>
          <w:p>
            <w:r>
              <w:t>配置项管理</w:t>
            </w:r>
          </w:p>
        </w:tc>
        <w:tc>
          <w:tcPr>
            <w:tcW w:type="dxa" w:w="1234"/>
          </w:tcPr>
          <w:p>
            <w:r>
              <w:t>建立和管理配置项登记册，跟踪项目过程中各类配置项的版本、状态和变更历史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constraint-assumption-register-builder</w:t>
            </w:r>
          </w:p>
        </w:tc>
        <w:tc>
          <w:tcPr>
            <w:tcW w:type="dxa" w:w="1234"/>
          </w:tcPr>
          <w:p>
            <w:r>
              <w:t>约束假设登记</w:t>
            </w:r>
          </w:p>
        </w:tc>
        <w:tc>
          <w:tcPr>
            <w:tcW w:type="dxa" w:w="1234"/>
          </w:tcPr>
          <w:p>
            <w:r>
              <w:t>建立和维护约束条件与假设清单，识别影响项目规划和执行的内外部约束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cost-estimation-helper</w:t>
            </w:r>
          </w:p>
        </w:tc>
        <w:tc>
          <w:tcPr>
            <w:tcW w:type="dxa" w:w="1234"/>
          </w:tcPr>
          <w:p>
            <w:r>
              <w:t>成本估算</w:t>
            </w:r>
          </w:p>
        </w:tc>
        <w:tc>
          <w:tcPr>
            <w:tcW w:type="dxa" w:w="1234"/>
          </w:tcPr>
          <w:p>
            <w:r>
              <w:t>提供银行业务项目的标准化成本估算能力，支持类比法、参数法、自下而上法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cross-dept-coordination</w:t>
            </w:r>
          </w:p>
        </w:tc>
        <w:tc>
          <w:tcPr>
            <w:tcW w:type="dxa" w:w="1234"/>
          </w:tcPr>
          <w:p>
            <w:r>
              <w:t>跨部门协调</w:t>
            </w:r>
          </w:p>
        </w:tc>
        <w:tc>
          <w:tcPr>
            <w:tcW w:type="dxa" w:w="1234"/>
          </w:tcPr>
          <w:p>
            <w:r>
              <w:t>建立和管理跨部门协调机制，协调资源分配方案和接口，解决冲突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cross-dept-solution-orchestrator</w:t>
            </w:r>
          </w:p>
        </w:tc>
        <w:tc>
          <w:tcPr>
            <w:tcW w:type="dxa" w:w="1234"/>
          </w:tcPr>
          <w:p>
            <w:r>
              <w:t>跨部门编排</w:t>
            </w:r>
          </w:p>
        </w:tc>
        <w:tc>
          <w:tcPr>
            <w:tcW w:type="dxa" w:w="1234"/>
          </w:tcPr>
          <w:p>
            <w:r>
              <w:t>编排跨部门问题解决流程：问题分析→多方案生成→干系人对齐→执行跟踪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deployment-planning</w:t>
            </w:r>
          </w:p>
        </w:tc>
        <w:tc>
          <w:tcPr>
            <w:tcW w:type="dxa" w:w="1234"/>
          </w:tcPr>
          <w:p>
            <w:r>
              <w:t>投产规划</w:t>
            </w:r>
          </w:p>
        </w:tc>
        <w:tc>
          <w:tcPr>
            <w:tcW w:type="dxa" w:w="1234"/>
          </w:tcPr>
          <w:p>
            <w:r>
              <w:t>为系统投产制定全面的投产规划，包括投产范围、时间计划、资源配置和回滚方案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earned-value-evm-orchestrator</w:t>
            </w:r>
          </w:p>
        </w:tc>
        <w:tc>
          <w:tcPr>
            <w:tcW w:type="dxa" w:w="1234"/>
          </w:tcPr>
          <w:p>
            <w:r>
              <w:t>挣值管理编排</w:t>
            </w:r>
          </w:p>
        </w:tc>
        <w:tc>
          <w:tcPr>
            <w:tcW w:type="dxa" w:w="1234"/>
          </w:tcPr>
          <w:p>
            <w:r>
              <w:t>编排挣值管理全链条：EVM数据采集→绩效分析→重新估算→审批更新→基线变更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earned-value-tracker</w:t>
            </w:r>
          </w:p>
        </w:tc>
        <w:tc>
          <w:tcPr>
            <w:tcW w:type="dxa" w:w="1234"/>
          </w:tcPr>
          <w:p>
            <w:r>
              <w:t>挣值跟踪</w:t>
            </w:r>
          </w:p>
        </w:tc>
        <w:tc>
          <w:tcPr>
            <w:tcW w:type="dxa" w:w="1234"/>
          </w:tcPr>
          <w:p>
            <w:r>
              <w:t>使用挣值管理指标跟踪和报告银行IT项目的成本与进度绩效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etc-reestimation-helper</w:t>
            </w:r>
          </w:p>
        </w:tc>
        <w:tc>
          <w:tcPr>
            <w:tcW w:type="dxa" w:w="1234"/>
          </w:tcPr>
          <w:p>
            <w:r>
              <w:t>ETC重估</w:t>
            </w:r>
          </w:p>
        </w:tc>
        <w:tc>
          <w:tcPr>
            <w:tcW w:type="dxa" w:w="1234"/>
          </w:tcPr>
          <w:p>
            <w:r>
              <w:t>基于EVM数据重新估算银行IT项目的完工尚需，支持多种估算方法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ethics-management-plan-writer</w:t>
            </w:r>
          </w:p>
        </w:tc>
        <w:tc>
          <w:tcPr>
            <w:tcW w:type="dxa" w:w="1234"/>
          </w:tcPr>
          <w:p>
            <w:r>
              <w:t>伦理合规计划</w:t>
            </w:r>
          </w:p>
        </w:tc>
        <w:tc>
          <w:tcPr>
            <w:tcW w:type="dxa" w:w="1234"/>
          </w:tcPr>
          <w:p>
            <w:r>
              <w:t>建立项目伦理、合规和利益冲突管理框架，识别潜在伦理风险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executive-communication</w:t>
            </w:r>
          </w:p>
        </w:tc>
        <w:tc>
          <w:tcPr>
            <w:tcW w:type="dxa" w:w="1234"/>
          </w:tcPr>
          <w:p>
            <w:r>
              <w:t>高管沟通</w:t>
            </w:r>
          </w:p>
        </w:tc>
        <w:tc>
          <w:tcPr>
            <w:tcW w:type="dxa" w:w="1234"/>
          </w:tcPr>
          <w:p>
            <w:r>
              <w:t>设计并制作高管级沟通材料，包括董事会报告、Steering Committee汇报材料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lessons-learned-summarizer</w:t>
            </w:r>
          </w:p>
        </w:tc>
        <w:tc>
          <w:tcPr>
            <w:tcW w:type="dxa" w:w="1234"/>
          </w:tcPr>
          <w:p>
            <w:r>
              <w:t>经验教训总结</w:t>
            </w:r>
          </w:p>
        </w:tc>
        <w:tc>
          <w:tcPr>
            <w:tcW w:type="dxa" w:w="1234"/>
          </w:tcPr>
          <w:p>
            <w:r>
              <w:t>从银行IT项目中提取、分类和记录经验教训，覆盖监管合规、技术、管理三大类别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meeting-notes</w:t>
            </w:r>
          </w:p>
        </w:tc>
        <w:tc>
          <w:tcPr>
            <w:tcW w:type="dxa" w:w="1234"/>
          </w:tcPr>
          <w:p>
            <w:r>
              <w:t>会议纪要</w:t>
            </w:r>
          </w:p>
        </w:tc>
        <w:tc>
          <w:tcPr>
            <w:tcW w:type="dxa" w:w="1234"/>
          </w:tcPr>
          <w:p>
            <w:r>
              <w:t>记录、整理、分发和管理项目会议纪要，确保会议决议得到有效跟踪和闭环执行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milestone-planner</w:t>
            </w:r>
          </w:p>
        </w:tc>
        <w:tc>
          <w:tcPr>
            <w:tcW w:type="dxa" w:w="1234"/>
          </w:tcPr>
          <w:p>
            <w:r>
              <w:t>里程碑规划</w:t>
            </w:r>
          </w:p>
        </w:tc>
        <w:tc>
          <w:tcPr>
            <w:tcW w:type="dxa" w:w="1234"/>
          </w:tcPr>
          <w:p>
            <w:r>
              <w:t>定义、规划和跟踪银行IT项目的四类里程碑，支持合规审计和治理签收流程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org-stakeholder-communication-orchestrator</w:t>
            </w:r>
          </w:p>
        </w:tc>
        <w:tc>
          <w:tcPr>
            <w:tcW w:type="dxa" w:w="1234"/>
          </w:tcPr>
          <w:p>
            <w:r>
              <w:t>治理沟通编排</w:t>
            </w:r>
          </w:p>
        </w:tc>
        <w:tc>
          <w:tcPr>
            <w:tcW w:type="dxa" w:w="1234"/>
          </w:tcPr>
          <w:p>
            <w:r>
              <w:t>编排组织架构设计与干系人沟通全链条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org-structure-builder</w:t>
            </w:r>
          </w:p>
        </w:tc>
        <w:tc>
          <w:tcPr>
            <w:tcW w:type="dxa" w:w="1234"/>
          </w:tcPr>
          <w:p>
            <w:r>
              <w:t>组织架构设计</w:t>
            </w:r>
          </w:p>
        </w:tc>
        <w:tc>
          <w:tcPr>
            <w:tcW w:type="dxa" w:w="1234"/>
          </w:tcPr>
          <w:p>
            <w:r>
              <w:t>设计并记录项目组织结构，包括治理层级、功能团队定义、角色职责矩阵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project-charter-writer</w:t>
            </w:r>
          </w:p>
        </w:tc>
        <w:tc>
          <w:tcPr>
            <w:tcW w:type="dxa" w:w="1234"/>
          </w:tcPr>
          <w:p>
            <w:r>
              <w:t>项目章程编写</w:t>
            </w:r>
          </w:p>
        </w:tc>
        <w:tc>
          <w:tcPr>
            <w:tcW w:type="dxa" w:w="1234"/>
          </w:tcPr>
          <w:p>
            <w:r>
              <w:t>编写全面的项目章程，定义项目目的、范围、目标、干系人、治理结构、组织层级、实施阶段和管理流程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project-info-manager</w:t>
            </w:r>
          </w:p>
        </w:tc>
        <w:tc>
          <w:tcPr>
            <w:tcW w:type="dxa" w:w="1234"/>
          </w:tcPr>
          <w:p>
            <w:r>
              <w:t>项目信息库</w:t>
            </w:r>
          </w:p>
        </w:tc>
        <w:tc>
          <w:tcPr>
            <w:tcW w:type="dxa" w:w="1234"/>
          </w:tcPr>
          <w:p>
            <w:r>
              <w:t>管理项目全生命周期信息库，支持Skill运行时查询、写入、更新项目信息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project-oversight</w:t>
            </w:r>
          </w:p>
        </w:tc>
        <w:tc>
          <w:tcPr>
            <w:tcW w:type="dxa" w:w="1234"/>
          </w:tcPr>
          <w:p>
            <w:r>
              <w:t>项目监控</w:t>
            </w:r>
          </w:p>
        </w:tc>
        <w:tc>
          <w:tcPr>
            <w:tcW w:type="dxa" w:w="1234"/>
          </w:tcPr>
          <w:p>
            <w:r>
              <w:t>建立并运行项目监控机制，包括进度跟踪、偏差分析、预警管理和升级处理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project-oversight-risk-orchestrator</w:t>
            </w:r>
          </w:p>
        </w:tc>
        <w:tc>
          <w:tcPr>
            <w:tcW w:type="dxa" w:w="1234"/>
          </w:tcPr>
          <w:p>
            <w:r>
              <w:t>监控风险编排</w:t>
            </w:r>
          </w:p>
        </w:tc>
        <w:tc>
          <w:tcPr>
            <w:tcW w:type="dxa" w:w="1234"/>
          </w:tcPr>
          <w:p>
            <w:r>
              <w:t>编排项目监控与风险管理循环：进度/风险数据采集→偏差分析→预警评估→风险应对→升级管理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report-generation</w:t>
            </w:r>
          </w:p>
        </w:tc>
        <w:tc>
          <w:tcPr>
            <w:tcW w:type="dxa" w:w="1234"/>
          </w:tcPr>
          <w:p>
            <w:r>
              <w:t>报告生成</w:t>
            </w:r>
          </w:p>
        </w:tc>
        <w:tc>
          <w:tcPr>
            <w:tcW w:type="dxa" w:w="1234"/>
          </w:tcPr>
          <w:p>
            <w:r>
              <w:t>聚合项目多维度数据，生成格式化报告，支持项目管理委员会决策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requirements-control</w:t>
            </w:r>
          </w:p>
        </w:tc>
        <w:tc>
          <w:tcPr>
            <w:tcW w:type="dxa" w:w="1234"/>
          </w:tcPr>
          <w:p>
            <w:r>
              <w:t>需求管控</w:t>
            </w:r>
          </w:p>
        </w:tc>
        <w:tc>
          <w:tcPr>
            <w:tcW w:type="dxa" w:w="1234"/>
          </w:tcPr>
          <w:p>
            <w:r>
              <w:t>对需求文档进行完整性、正确性、一致性和可执行性评审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risk-register-builder</w:t>
            </w:r>
          </w:p>
        </w:tc>
        <w:tc>
          <w:tcPr>
            <w:tcW w:type="dxa" w:w="1234"/>
          </w:tcPr>
          <w:p>
            <w:r>
              <w:t>风险登记册</w:t>
            </w:r>
          </w:p>
        </w:tc>
        <w:tc>
          <w:tcPr>
            <w:tcW w:type="dxa" w:w="1234"/>
          </w:tcPr>
          <w:p>
            <w:r>
              <w:t>创建项目风险登记册，识别风险原因、影响、发生概率、应对策略和责任人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schedule-sequencer</w:t>
            </w:r>
          </w:p>
        </w:tc>
        <w:tc>
          <w:tcPr>
            <w:tcW w:type="dxa" w:w="1234"/>
          </w:tcPr>
          <w:p>
            <w:r>
              <w:t>进度排序</w:t>
            </w:r>
          </w:p>
        </w:tc>
        <w:tc>
          <w:tcPr>
            <w:tcW w:type="dxa" w:w="1234"/>
          </w:tcPr>
          <w:p>
            <w:r>
              <w:t>将WBS工作分解结构转化为可执行的进度计划，采用关键路径法识别关键链路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scope-management</w:t>
            </w:r>
          </w:p>
        </w:tc>
        <w:tc>
          <w:tcPr>
            <w:tcW w:type="dxa" w:w="1234"/>
          </w:tcPr>
          <w:p>
            <w:r>
              <w:t>范围管理</w:t>
            </w:r>
          </w:p>
        </w:tc>
        <w:tc>
          <w:tcPr>
            <w:tcW w:type="dxa" w:w="1234"/>
          </w:tcPr>
          <w:p>
            <w:r>
              <w:t>统一范围管理，融合边界检查和范围定义写作，确保项目范围清晰、变更受控、交付物完整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solution-generation</w:t>
            </w:r>
          </w:p>
        </w:tc>
        <w:tc>
          <w:tcPr>
            <w:tcW w:type="dxa" w:w="1234"/>
          </w:tcPr>
          <w:p>
            <w:r>
              <w:t>方案生成</w:t>
            </w:r>
          </w:p>
        </w:tc>
        <w:tc>
          <w:tcPr>
            <w:tcW w:type="dxa" w:w="1234"/>
          </w:tcPr>
          <w:p>
            <w:r>
              <w:t>针对项目问题、风险和挑战，系统性地生成和评估解决方案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stakeholder-comms-planner</w:t>
            </w:r>
          </w:p>
        </w:tc>
        <w:tc>
          <w:tcPr>
            <w:tcW w:type="dxa" w:w="1234"/>
          </w:tcPr>
          <w:p>
            <w:r>
              <w:t>干系人沟通规划</w:t>
            </w:r>
          </w:p>
        </w:tc>
        <w:tc>
          <w:tcPr>
            <w:tcW w:type="dxa" w:w="1234"/>
          </w:tcPr>
          <w:p>
            <w:r>
              <w:t>规划项目全生命周期中谁需要什么信息、何时需要、为什么需要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strategy-charter-orchestrator</w:t>
            </w:r>
          </w:p>
        </w:tc>
        <w:tc>
          <w:tcPr>
            <w:tcW w:type="dxa" w:w="1234"/>
          </w:tcPr>
          <w:p>
            <w:r>
              <w:t>战略章程编排</w:t>
            </w:r>
          </w:p>
        </w:tc>
        <w:tc>
          <w:tcPr>
            <w:tcW w:type="dxa" w:w="1234"/>
          </w:tcPr>
          <w:p>
            <w:r>
              <w:t>编排从战略决策到执行的完整链条：战略决策→项目章程→里程碑规划→WBS分解→进度排序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strategy-decision-facilitation</w:t>
            </w:r>
          </w:p>
        </w:tc>
        <w:tc>
          <w:tcPr>
            <w:tcW w:type="dxa" w:w="1234"/>
          </w:tcPr>
          <w:p>
            <w:r>
              <w:t>战略决策引导</w:t>
            </w:r>
          </w:p>
        </w:tc>
        <w:tc>
          <w:tcPr>
            <w:tcW w:type="dxa" w:w="1234"/>
          </w:tcPr>
          <w:p>
            <w:r>
              <w:t>引导战略性决策流程，指导干系人通过结构化分析、方案评估和共识建立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template-management</w:t>
            </w:r>
          </w:p>
        </w:tc>
        <w:tc>
          <w:tcPr>
            <w:tcW w:type="dxa" w:w="1234"/>
          </w:tcPr>
          <w:p>
            <w:r>
              <w:t>模板管理</w:t>
            </w:r>
          </w:p>
        </w:tc>
        <w:tc>
          <w:tcPr>
            <w:tcW w:type="dxa" w:w="1234"/>
          </w:tcPr>
          <w:p>
            <w:r>
              <w:t>建立和维护项目文档模板库，确保项目文档格式统一、内容规范、版本受控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vendor-risk-assessment</w:t>
            </w:r>
          </w:p>
        </w:tc>
        <w:tc>
          <w:tcPr>
            <w:tcW w:type="dxa" w:w="1234"/>
          </w:tcPr>
          <w:p>
            <w:r>
              <w:t>供应商风险评估</w:t>
            </w:r>
          </w:p>
        </w:tc>
        <w:tc>
          <w:tcPr>
            <w:tcW w:type="dxa" w:w="1234"/>
          </w:tcPr>
          <w:p>
            <w:r>
              <w:t>对供应商进行全面风险评估，涵盖资质合规、历史绩效、技术风险、运营风险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wbs-builder</w:t>
            </w:r>
          </w:p>
        </w:tc>
        <w:tc>
          <w:tcPr>
            <w:tcW w:type="dxa" w:w="1234"/>
          </w:tcPr>
          <w:p>
            <w:r>
              <w:t>WBS分解</w:t>
            </w:r>
          </w:p>
        </w:tc>
        <w:tc>
          <w:tcPr>
            <w:tcW w:type="dxa" w:w="1234"/>
          </w:tcPr>
          <w:p>
            <w:r>
              <w:t>将银行IT项目分解为三层WBS，支持进度排序、责任人分配和成本估算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wbs-schedule-milestone-orchestrator</w:t>
            </w:r>
          </w:p>
        </w:tc>
        <w:tc>
          <w:tcPr>
            <w:tcW w:type="dxa" w:w="1234"/>
          </w:tcPr>
          <w:p>
            <w:r>
              <w:t>WBS编排</w:t>
            </w:r>
          </w:p>
        </w:tc>
        <w:tc>
          <w:tcPr>
            <w:tcW w:type="dxa" w:w="1234"/>
          </w:tcPr>
          <w:p>
            <w:r>
              <w:t>编排完整规划链条：WBS分解→进度排序→里程碑规划</w:t>
            </w:r>
          </w:p>
        </w:tc>
        <w:tc>
          <w:tcPr>
            <w:tcW w:type="dxa" w:w="1234"/>
          </w:tcPr>
          <w:p>
            <w:r>
              <w:t>PMO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>
              <w:t>2026年08月29日</w:t>
            </w:r>
          </w:p>
        </w:tc>
      </w:tr>
    </w:tbl>
    <w:p/>
    <w:p>
      <w:pPr>
        <w:pStyle w:val="Heading1"/>
      </w:pPr>
      <w:r>
        <w:t>2 验收测试情况</w:t>
      </w:r>
    </w:p>
    <w:p>
      <w:r>
        <w:t>PMO领域已完成部门内部验收测试，验收测试报告见附件《PMO领域_Agent_Skill_验收测试报告.docx》。</w:t>
      </w:r>
    </w:p>
    <w:p>
      <w:r>
        <w:t>测试概况：测试覆盖4个Agent和37个Skill，共设计215个测试用例，涵盖五大测试维度：</w:t>
      </w:r>
    </w:p>
    <w:p>
      <w:r>
        <w:t>• 业务场景测试（BA）：52个用例，覆盖37个Skill基础场景和15个边界场景</w:t>
      </w:r>
    </w:p>
    <w:p>
      <w:r>
        <w:t>• 接口测试（IA）：30个用例，覆盖6个编排Skill的5类接口维度</w:t>
      </w:r>
    </w:p>
    <w:p>
      <w:r>
        <w:t>• 准确率测试（QA）：111个用例，覆盖37个Skill的3类章节内容</w:t>
      </w:r>
    </w:p>
    <w:p>
      <w:r>
        <w:t>• 废弃隔离测试（DA）：2个用例，验证废弃Skill隔离规范</w:t>
      </w:r>
    </w:p>
    <w:p>
      <w:r>
        <w:t>• Agent专项测试（AG）：20个用例，验证4个Agent的元数据完整性</w:t>
      </w:r>
    </w:p>
    <w:p>
      <w:r>
        <w:t>测试结果：215/215通过，通过率100%，无严重缺陷、一般缺陷，所有问题已在测试周期内完成整改。</w:t>
      </w:r>
    </w:p>
    <w:p>
      <w:pPr>
        <w:pStyle w:val="Heading1"/>
      </w:pPr>
      <w:r>
        <w:t>3 资产归档情况</w:t>
      </w:r>
    </w:p>
    <w:p>
      <w:r>
        <w:t>1）售前材料提交情况：无售前材料提交需求。</w:t>
      </w:r>
    </w:p>
    <w:p>
      <w:r>
        <w:rPr>
          <w:b/>
        </w:rPr>
        <w:t>2）本次计划上传资产清单：</w:t>
      </w:r>
    </w:p>
    <w:p>
      <w:r>
        <w:t>• 计划上传Agent数量：4个</w:t>
      </w:r>
    </w:p>
    <w:p>
      <w:r>
        <w:t>• 计划上传Skill数量：37个</w:t>
      </w:r>
    </w:p>
    <w:p/>
    <w:p>
      <w:r>
        <w:t>资产归档清单（见附件《待上传agent、skill清单模板（规范格式）.xlsx》）：</w:t>
      </w:r>
    </w:p>
    <w:p>
      <w:pPr>
        <w:pStyle w:val="Heading1"/>
      </w:pPr>
      <w:r>
        <w:t>4 市场情况</w:t>
      </w:r>
    </w:p>
    <w:p>
      <w:pPr>
        <w:pStyle w:val="Heading2"/>
      </w:pPr>
      <w:r>
        <w:t>4.1 已签约情况概述</w:t>
      </w:r>
    </w:p>
    <w:p>
      <w:r>
        <w:t>（暂无已签约项目）</w:t>
      </w:r>
    </w:p>
    <w:p>
      <w:pPr>
        <w:pStyle w:val="Heading2"/>
      </w:pPr>
      <w:r>
        <w:t>4.2 未来商机情况</w:t>
      </w:r>
    </w:p>
    <w:p>
      <w:r>
        <w:t>（暂无商机信息）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