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PMO领域 Agent &amp; Skill 操作手册</w:t>
      </w:r>
    </w:p>
    <w:p>
      <w:pPr>
        <w:spacing w:after="120"/>
      </w:pPr>
      <w:r>
        <w:t>&gt; 本手册说明如何通过 Hermes Agent 调用 PMO 领域的 Agent 与 Skill，实现项目管理全流程智能化支持。</w:t>
      </w:r>
    </w:p>
    <w:p>
      <w:pPr>
        <w:pStyle w:val="Heading2"/>
        <w:jc w:val="left"/>
      </w:pPr>
      <w:r>
        <w:t>一、体系概览</w:t>
      </w:r>
    </w:p>
    <w:p>
      <w:pPr>
        <w:spacing w:after="120"/>
      </w:pPr>
      <w:r>
        <w:t xml:space="preserve">PMO 领域共建设 </w:t>
      </w:r>
      <w:r>
        <w:rPr>
          <w:b/>
        </w:rPr>
        <w:t>4个智能体 + 36个技能</w:t>
      </w:r>
      <w:r>
        <w:t>（34个可用 + 2个已废弃）。</w:t>
      </w:r>
    </w:p>
    <w:p>
      <w:pPr>
        <w:pStyle w:val="Heading3"/>
        <w:jc w:val="left"/>
      </w:pPr>
      <w:r>
        <w:t>智能体（Agent）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`project-control-agent`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项目管控智能体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`project-control`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全局掌控、计划制定、风险识别、跨部门协调、架构需求管控</w:t>
            </w:r>
          </w:p>
        </w:tc>
      </w:tr>
      <w:tr>
        <w:tc>
          <w:tcPr>
            <w:tcW w:type="dxa" w:w="1701"/>
          </w:tcPr>
          <w:p>
            <w:r>
              <w:t>`project-execution-agent`</w:t>
            </w:r>
          </w:p>
        </w:tc>
        <w:tc>
          <w:tcPr>
            <w:tcW w:type="dxa" w:w="1701"/>
          </w:tcPr>
          <w:p>
            <w:r>
              <w:t>项目执行智能体</w:t>
            </w:r>
          </w:p>
        </w:tc>
        <w:tc>
          <w:tcPr>
            <w:tcW w:type="dxa" w:w="1701"/>
          </w:tcPr>
          <w:p>
            <w:r>
              <w:t>`project-execution`</w:t>
            </w:r>
          </w:p>
        </w:tc>
        <w:tc>
          <w:tcPr>
            <w:tcW w:type="dxa" w:w="1701"/>
          </w:tcPr>
          <w:p>
            <w:r>
              <w:t>日常执行跟踪、报告生成、会议纪要、规范检查、模板工具支持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`project-inspection-agent`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t>项目检查智能体</w:t>
            </w:r>
          </w:p>
        </w:tc>
        <w:tc>
          <w:tcPr>
            <w:tcW w:type="dxa" w:w="1701"/>
            <w:shd w:fill="EEF2F7" w:color="auto" w:val="clear"/>
          </w:tcPr>
          <w:p>
            <w:r>
              <w:t>`project-inspection`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t>质量管理审查、供应商评估、合规审计与检查</w:t>
            </w:r>
          </w:p>
        </w:tc>
      </w:tr>
      <w:tr>
        <w:tc>
          <w:tcPr>
            <w:tcW w:type="dxa" w:w="1701"/>
          </w:tcPr>
          <w:p>
            <w:r>
              <w:t>`strategic-execution-agent`</w:t>
            </w:r>
          </w:p>
        </w:tc>
        <w:tc>
          <w:tcPr>
            <w:tcW w:type="dxa" w:w="1701"/>
          </w:tcPr>
          <w:p>
            <w:r>
              <w:t>战略推动智能体</w:t>
            </w:r>
          </w:p>
        </w:tc>
        <w:tc>
          <w:tcPr>
            <w:tcW w:type="dxa" w:w="1701"/>
          </w:tcPr>
          <w:p>
            <w:r>
              <w:t>`strategic-execution`</w:t>
            </w:r>
          </w:p>
        </w:tc>
        <w:tc>
          <w:tcPr>
            <w:tcW w:type="dxa" w:w="1701"/>
          </w:tcPr>
          <w:p>
            <w:r>
              <w:t>高层决策推动、关键阶段原则标准、组织治理体系、高层沟通</w:t>
            </w:r>
          </w:p>
        </w:tc>
      </w:tr>
    </w:tbl>
    <w:p>
      <w:pPr>
        <w:pStyle w:val="Heading3"/>
        <w:jc w:val="left"/>
      </w:pPr>
      <w:r>
        <w:t>技能分类（按项目管控域）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**战略决策**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PMO-01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`strategy-decision-facilitation`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引导战略决策流程</w:t>
            </w:r>
          </w:p>
        </w:tc>
      </w:tr>
      <w:tr>
        <w:tc>
          <w:tcPr>
            <w:tcW w:type="dxa" w:w="1701"/>
          </w:tcPr>
          <w:p>
            <w:r>
              <w:t>**战略决策**</w:t>
            </w:r>
          </w:p>
        </w:tc>
        <w:tc>
          <w:tcPr>
            <w:tcW w:type="dxa" w:w="1701"/>
          </w:tcPr>
          <w:p>
            <w:r>
              <w:t>PMO-01</w:t>
            </w:r>
          </w:p>
        </w:tc>
        <w:tc>
          <w:tcPr>
            <w:tcW w:type="dxa" w:w="1701"/>
          </w:tcPr>
          <w:p>
            <w:r>
              <w:t>`strategy-charter-orchestrator`</w:t>
            </w:r>
          </w:p>
        </w:tc>
        <w:tc>
          <w:tcPr>
            <w:tcW w:type="dxa" w:w="1701"/>
          </w:tcPr>
          <w:p>
            <w:r>
              <w:t>战略→章程→里程碑→WBS→进度编排链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**项目立项**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PMO-02</w:t>
            </w:r>
          </w:p>
        </w:tc>
        <w:tc>
          <w:tcPr>
            <w:tcW w:type="dxa" w:w="1701"/>
            <w:shd w:fill="EEF2F7" w:color="auto" w:val="clear"/>
          </w:tcPr>
          <w:p>
            <w:r>
              <w:t>`project-charter-writer`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编写项目管理章程</w:t>
            </w:r>
          </w:p>
        </w:tc>
      </w:tr>
      <w:tr>
        <w:tc>
          <w:tcPr>
            <w:tcW w:type="dxa" w:w="1701"/>
          </w:tcPr>
          <w:p>
            <w:r>
              <w:t>**项目立项**</w:t>
            </w:r>
          </w:p>
        </w:tc>
        <w:tc>
          <w:tcPr>
            <w:tcW w:type="dxa" w:w="1701"/>
          </w:tcPr>
          <w:p>
            <w:r>
              <w:t>PMO-03</w:t>
            </w:r>
          </w:p>
        </w:tc>
        <w:tc>
          <w:tcPr>
            <w:tcW w:type="dxa" w:w="1701"/>
          </w:tcPr>
          <w:p>
            <w:r>
              <w:t>`org-structure-builder`</w:t>
            </w:r>
          </w:p>
        </w:tc>
        <w:tc>
          <w:tcPr>
            <w:tcW w:type="dxa" w:w="1701"/>
          </w:tcPr>
          <w:p>
            <w:r>
              <w:t>设计项目组织架构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**项目立项**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PMO-04</w:t>
            </w:r>
          </w:p>
        </w:tc>
        <w:tc>
          <w:tcPr>
            <w:tcW w:type="dxa" w:w="1701"/>
            <w:shd w:fill="EEF2F7" w:color="auto" w:val="clear"/>
          </w:tcPr>
          <w:p>
            <w:r>
              <w:t>`executive-communication`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t>高管级沟通材料</w:t>
            </w:r>
          </w:p>
        </w:tc>
      </w:tr>
      <w:tr>
        <w:tc>
          <w:tcPr>
            <w:tcW w:type="dxa" w:w="1701"/>
          </w:tcPr>
          <w:p>
            <w:r>
              <w:t>**项目规划**</w:t>
            </w:r>
          </w:p>
        </w:tc>
        <w:tc>
          <w:tcPr>
            <w:tcW w:type="dxa" w:w="1701"/>
          </w:tcPr>
          <w:p>
            <w:r>
              <w:t>PMO-05</w:t>
            </w:r>
          </w:p>
        </w:tc>
        <w:tc>
          <w:tcPr>
            <w:tcW w:type="dxa" w:w="1701"/>
          </w:tcPr>
          <w:p>
            <w:r>
              <w:t>`project-oversight`</w:t>
            </w:r>
          </w:p>
        </w:tc>
        <w:tc>
          <w:tcPr>
            <w:tcW w:type="dxa" w:w="1701"/>
          </w:tcPr>
          <w:p>
            <w:r>
              <w:t>项目监控与偏差分析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**项目规划**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PMO-05</w:t>
            </w:r>
          </w:p>
        </w:tc>
        <w:tc>
          <w:tcPr>
            <w:tcW w:type="dxa" w:w="1701"/>
            <w:shd w:fill="EEF2F7" w:color="auto" w:val="clear"/>
          </w:tcPr>
          <w:p>
            <w:r>
              <w:t>`project-oversight-risk-orchestrator`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t>监控+风险联动编排链</w:t>
            </w:r>
          </w:p>
        </w:tc>
      </w:tr>
      <w:tr>
        <w:tc>
          <w:tcPr>
            <w:tcW w:type="dxa" w:w="1701"/>
          </w:tcPr>
          <w:p>
            <w:r>
              <w:t>**项目规划**</w:t>
            </w:r>
          </w:p>
        </w:tc>
        <w:tc>
          <w:tcPr>
            <w:tcW w:type="dxa" w:w="1701"/>
          </w:tcPr>
          <w:p>
            <w:r>
              <w:t>PMO-06</w:t>
            </w:r>
          </w:p>
        </w:tc>
        <w:tc>
          <w:tcPr>
            <w:tcW w:type="dxa" w:w="1701"/>
          </w:tcPr>
          <w:p>
            <w:r>
              <w:t>`wbs-builder`</w:t>
            </w:r>
          </w:p>
        </w:tc>
        <w:tc>
          <w:tcPr>
            <w:tcW w:type="dxa" w:w="1701"/>
          </w:tcPr>
          <w:p>
            <w:r>
              <w:t>WBS工作分解结构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**项目规划**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PMO-07</w:t>
            </w:r>
          </w:p>
        </w:tc>
        <w:tc>
          <w:tcPr>
            <w:tcW w:type="dxa" w:w="1701"/>
            <w:shd w:fill="EEF2F7" w:color="auto" w:val="clear"/>
          </w:tcPr>
          <w:p>
            <w:r>
              <w:t>`risk-register-builder`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风险登记册</w:t>
            </w:r>
          </w:p>
        </w:tc>
      </w:tr>
      <w:tr>
        <w:tc>
          <w:tcPr>
            <w:tcW w:type="dxa" w:w="1701"/>
          </w:tcPr>
          <w:p>
            <w:r>
              <w:t>**项目规划**</w:t>
            </w:r>
          </w:p>
        </w:tc>
        <w:tc>
          <w:tcPr>
            <w:tcW w:type="dxa" w:w="1701"/>
          </w:tcPr>
          <w:p>
            <w:r>
              <w:t>PMC-002</w:t>
            </w:r>
          </w:p>
        </w:tc>
        <w:tc>
          <w:tcPr>
            <w:tcW w:type="dxa" w:w="1701"/>
          </w:tcPr>
          <w:p>
            <w:r>
              <w:t>`constraint-assumption-register-builder`</w:t>
            </w:r>
          </w:p>
        </w:tc>
        <w:tc>
          <w:tcPr>
            <w:tcW w:type="dxa" w:w="1701"/>
          </w:tcPr>
          <w:p>
            <w:r>
              <w:t>约束与假设登记册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**项目规划**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PMO-09</w:t>
            </w:r>
          </w:p>
        </w:tc>
        <w:tc>
          <w:tcPr>
            <w:tcW w:type="dxa" w:w="1701"/>
            <w:shd w:fill="EEF2F7" w:color="auto" w:val="clear"/>
          </w:tcPr>
          <w:p>
            <w:r>
              <w:t>`milestone-planner`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里程碑规划</w:t>
            </w:r>
          </w:p>
        </w:tc>
      </w:tr>
      <w:tr>
        <w:tc>
          <w:tcPr>
            <w:tcW w:type="dxa" w:w="1701"/>
          </w:tcPr>
          <w:p>
            <w:r>
              <w:t>**项目规划**</w:t>
            </w:r>
          </w:p>
        </w:tc>
        <w:tc>
          <w:tcPr>
            <w:tcW w:type="dxa" w:w="1701"/>
          </w:tcPr>
          <w:p>
            <w:r>
              <w:t>PMO-09</w:t>
            </w:r>
          </w:p>
        </w:tc>
        <w:tc>
          <w:tcPr>
            <w:tcW w:type="dxa" w:w="1701"/>
          </w:tcPr>
          <w:p>
            <w:r>
              <w:t>`wbs-schedule-milestone-orchestrator`</w:t>
            </w:r>
          </w:p>
        </w:tc>
        <w:tc>
          <w:tcPr>
            <w:tcW w:type="dxa" w:w="1701"/>
          </w:tcPr>
          <w:p>
            <w:r>
              <w:t>WBS→进度→里程碑编排链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**进度管理**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PMC-003</w:t>
            </w:r>
          </w:p>
        </w:tc>
        <w:tc>
          <w:tcPr>
            <w:tcW w:type="dxa" w:w="1701"/>
            <w:shd w:fill="EEF2F7" w:color="auto" w:val="clear"/>
          </w:tcPr>
          <w:p>
            <w:r>
              <w:t>`schedule-sequencer`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进度排序（关键路径法）</w:t>
            </w:r>
          </w:p>
        </w:tc>
      </w:tr>
      <w:tr>
        <w:tc>
          <w:tcPr>
            <w:tcW w:type="dxa" w:w="1701"/>
          </w:tcPr>
          <w:p>
            <w:r>
              <w:t>**成本管理**</w:t>
            </w:r>
          </w:p>
        </w:tc>
        <w:tc>
          <w:tcPr>
            <w:tcW w:type="dxa" w:w="1701"/>
          </w:tcPr>
          <w:p>
            <w:r>
              <w:t>PMC-004</w:t>
            </w:r>
          </w:p>
        </w:tc>
        <w:tc>
          <w:tcPr>
            <w:tcW w:type="dxa" w:w="1701"/>
          </w:tcPr>
          <w:p>
            <w:r>
              <w:t>`cost-estimation-helper`</w:t>
            </w:r>
          </w:p>
        </w:tc>
        <w:tc>
          <w:tcPr>
            <w:tcW w:type="dxa" w:w="1701"/>
          </w:tcPr>
          <w:p>
            <w:r>
              <w:t>成本估算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**成本管理**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PMC-005</w:t>
            </w:r>
          </w:p>
        </w:tc>
        <w:tc>
          <w:tcPr>
            <w:tcW w:type="dxa" w:w="1701"/>
            <w:shd w:fill="EEF2F7" w:color="auto" w:val="clear"/>
          </w:tcPr>
          <w:p>
            <w:r>
              <w:t>`etc-reestimation-helper`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ETC重新估算</w:t>
            </w:r>
          </w:p>
        </w:tc>
      </w:tr>
      <w:tr>
        <w:tc>
          <w:tcPr>
            <w:tcW w:type="dxa" w:w="1701"/>
          </w:tcPr>
          <w:p>
            <w:r>
              <w:t>**成本管理**</w:t>
            </w:r>
          </w:p>
        </w:tc>
        <w:tc>
          <w:tcPr>
            <w:tcW w:type="dxa" w:w="1701"/>
          </w:tcPr>
          <w:p>
            <w:r>
              <w:t>PMO-13</w:t>
            </w:r>
          </w:p>
        </w:tc>
        <w:tc>
          <w:tcPr>
            <w:tcW w:type="dxa" w:w="1701"/>
          </w:tcPr>
          <w:p>
            <w:r>
              <w:t>`earned-value-tracker`</w:t>
            </w:r>
          </w:p>
        </w:tc>
        <w:tc>
          <w:tcPr>
            <w:tcW w:type="dxa" w:w="1701"/>
          </w:tcPr>
          <w:p>
            <w:r>
              <w:t>挣值绩效跟踪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**成本管理**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PMO-13</w:t>
            </w:r>
          </w:p>
        </w:tc>
        <w:tc>
          <w:tcPr>
            <w:tcW w:type="dxa" w:w="1701"/>
            <w:shd w:fill="EEF2F7" w:color="auto" w:val="clear"/>
          </w:tcPr>
          <w:p>
            <w:r>
              <w:t>`earned-value-evm-orchestrator`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t>EVM全链条编排</w:t>
            </w:r>
          </w:p>
        </w:tc>
      </w:tr>
      <w:tr>
        <w:tc>
          <w:tcPr>
            <w:tcW w:type="dxa" w:w="1701"/>
          </w:tcPr>
          <w:p>
            <w:r>
              <w:t>**质量管理**</w:t>
            </w:r>
          </w:p>
        </w:tc>
        <w:tc>
          <w:tcPr>
            <w:tcW w:type="dxa" w:w="1701"/>
          </w:tcPr>
          <w:p>
            <w:r>
              <w:t>PMO-10</w:t>
            </w:r>
          </w:p>
        </w:tc>
        <w:tc>
          <w:tcPr>
            <w:tcW w:type="dxa" w:w="1701"/>
          </w:tcPr>
          <w:p>
            <w:r>
              <w:t>`architecture-review`</w:t>
            </w:r>
          </w:p>
        </w:tc>
        <w:tc>
          <w:tcPr>
            <w:tcW w:type="dxa" w:w="1701"/>
          </w:tcPr>
          <w:p>
            <w:r>
              <w:t>架构评审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**质量管理**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PMO-11</w:t>
            </w:r>
          </w:p>
        </w:tc>
        <w:tc>
          <w:tcPr>
            <w:tcW w:type="dxa" w:w="1701"/>
            <w:shd w:fill="EEF2F7" w:color="auto" w:val="clear"/>
          </w:tcPr>
          <w:p>
            <w:r>
              <w:t>`requirements-control`</w:t>
            </w:r>
          </w:p>
        </w:tc>
        <w:tc>
          <w:tcPr>
            <w:tcW w:type="dxa" w:w="1701"/>
            <w:shd w:fill="EEF2F7" w:color="auto" w:val="clear"/>
          </w:tcPr>
          <w:p>
            <w:r>
              <w:t>需求评审</w:t>
            </w:r>
          </w:p>
        </w:tc>
      </w:tr>
      <w:tr>
        <w:tc>
          <w:tcPr>
            <w:tcW w:type="dxa" w:w="1701"/>
          </w:tcPr>
          <w:p>
            <w:r>
              <w:t>**质量管理**</w:t>
            </w:r>
          </w:p>
        </w:tc>
        <w:tc>
          <w:tcPr>
            <w:tcW w:type="dxa" w:w="1701"/>
          </w:tcPr>
          <w:p>
            <w:r>
              <w:t>PMO-15</w:t>
            </w:r>
          </w:p>
        </w:tc>
        <w:tc>
          <w:tcPr>
            <w:tcW w:type="dxa" w:w="1701"/>
          </w:tcPr>
          <w:p>
            <w:r>
              <w:t>`compliance-check`</w:t>
            </w:r>
          </w:p>
        </w:tc>
        <w:tc>
          <w:tcPr>
            <w:tcW w:type="dxa" w:w="1701"/>
          </w:tcPr>
          <w:p>
            <w:r>
              <w:t>合规检查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**质量管理**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PMO-15</w:t>
            </w:r>
          </w:p>
        </w:tc>
        <w:tc>
          <w:tcPr>
            <w:tcW w:type="dxa" w:w="1701"/>
            <w:shd w:fill="EEF2F7" w:color="auto" w:val="clear"/>
          </w:tcPr>
          <w:p>
            <w:r>
              <w:t>`ethics-management-plan-writer`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伦理合规管理计划</w:t>
            </w:r>
          </w:p>
        </w:tc>
      </w:tr>
      <w:tr>
        <w:tc>
          <w:tcPr>
            <w:tcW w:type="dxa" w:w="1701"/>
          </w:tcPr>
          <w:p>
            <w:r>
              <w:t>**沟通协调**</w:t>
            </w:r>
          </w:p>
        </w:tc>
        <w:tc>
          <w:tcPr>
            <w:tcW w:type="dxa" w:w="1701"/>
          </w:tcPr>
          <w:p>
            <w:r>
              <w:t>PMO-06</w:t>
            </w:r>
          </w:p>
        </w:tc>
        <w:tc>
          <w:tcPr>
            <w:tcW w:type="dxa" w:w="1701"/>
          </w:tcPr>
          <w:p>
            <w:r>
              <w:t>`stakeholder-comms-planner`</w:t>
            </w:r>
          </w:p>
        </w:tc>
        <w:tc>
          <w:tcPr>
            <w:tcW w:type="dxa" w:w="1701"/>
          </w:tcPr>
          <w:p>
            <w:r>
              <w:t>干系人沟通计划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**沟通协调**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PMO-08</w:t>
            </w:r>
          </w:p>
        </w:tc>
        <w:tc>
          <w:tcPr>
            <w:tcW w:type="dxa" w:w="1701"/>
            <w:shd w:fill="EEF2F7" w:color="auto" w:val="clear"/>
          </w:tcPr>
          <w:p>
            <w:r>
              <w:t>`cross-dept-coordination`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t>跨部门协调</w:t>
            </w:r>
          </w:p>
        </w:tc>
      </w:tr>
      <w:tr>
        <w:tc>
          <w:tcPr>
            <w:tcW w:type="dxa" w:w="1701"/>
          </w:tcPr>
          <w:p>
            <w:r>
              <w:t>**沟通协调**</w:t>
            </w:r>
          </w:p>
        </w:tc>
        <w:tc>
          <w:tcPr>
            <w:tcW w:type="dxa" w:w="1701"/>
          </w:tcPr>
          <w:p>
            <w:r>
              <w:t>PMO-08</w:t>
            </w:r>
          </w:p>
        </w:tc>
        <w:tc>
          <w:tcPr>
            <w:tcW w:type="dxa" w:w="1701"/>
          </w:tcPr>
          <w:p>
            <w:r>
              <w:t>`cross-dept-solution-orchestrator`</w:t>
            </w:r>
          </w:p>
        </w:tc>
        <w:tc>
          <w:tcPr>
            <w:tcW w:type="dxa" w:w="1701"/>
          </w:tcPr>
          <w:p>
            <w:r>
              <w:t>跨部门问题解决编排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**沟通协调**</w:t>
            </w:r>
          </w:p>
        </w:tc>
        <w:tc>
          <w:tcPr>
            <w:tcW w:type="dxa" w:w="1701"/>
            <w:shd w:fill="EEF2F7" w:color="auto" w:val="clear"/>
          </w:tcPr>
          <w:p>
            <w:r>
              <w:t>—</w:t>
            </w:r>
          </w:p>
        </w:tc>
        <w:tc>
          <w:tcPr>
            <w:tcW w:type="dxa" w:w="1701"/>
            <w:shd w:fill="EEF2F7" w:color="auto" w:val="clear"/>
          </w:tcPr>
          <w:p>
            <w:r>
              <w:t>`org-stakeholder-communication-orchestrator`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t>组织+沟通联动编排</w:t>
            </w:r>
          </w:p>
        </w:tc>
      </w:tr>
      <w:tr>
        <w:tc>
          <w:tcPr>
            <w:tcW w:type="dxa" w:w="1701"/>
          </w:tcPr>
          <w:p>
            <w:r>
              <w:t>**范围与需求**</w:t>
            </w:r>
          </w:p>
        </w:tc>
        <w:tc>
          <w:tcPr>
            <w:tcW w:type="dxa" w:w="1701"/>
          </w:tcPr>
          <w:p>
            <w:r>
              <w:t>PMC-001</w:t>
            </w:r>
          </w:p>
        </w:tc>
        <w:tc>
          <w:tcPr>
            <w:tcW w:type="dxa" w:w="1701"/>
          </w:tcPr>
          <w:p>
            <w:r>
              <w:t>`scope-boundary-checker`</w:t>
            </w:r>
          </w:p>
        </w:tc>
        <w:tc>
          <w:tcPr>
            <w:tcW w:type="dxa" w:w="1701"/>
          </w:tcPr>
          <w:p>
            <w:r>
              <w:t>*(已废弃)*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**范围与需求**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PMC-001+007</w:t>
            </w:r>
          </w:p>
        </w:tc>
        <w:tc>
          <w:tcPr>
            <w:tcW w:type="dxa" w:w="1701"/>
            <w:shd w:fill="EEF2F7" w:color="auto" w:val="clear"/>
          </w:tcPr>
          <w:p>
            <w:r>
              <w:t>`scope-management`</w:t>
            </w:r>
          </w:p>
        </w:tc>
        <w:tc>
          <w:tcPr>
            <w:tcW w:type="dxa" w:w="1701"/>
            <w:shd w:fill="EEF2F7" w:color="auto" w:val="clear"/>
          </w:tcPr>
          <w:p>
            <w:r>
              <w:t>统一范围管理</w:t>
            </w:r>
          </w:p>
        </w:tc>
      </w:tr>
      <w:tr>
        <w:tc>
          <w:tcPr>
            <w:tcW w:type="dxa" w:w="1701"/>
          </w:tcPr>
          <w:p>
            <w:r>
              <w:t>**范围与需求**</w:t>
            </w:r>
          </w:p>
        </w:tc>
        <w:tc>
          <w:tcPr>
            <w:tcW w:type="dxa" w:w="1701"/>
          </w:tcPr>
          <w:p>
            <w:r>
              <w:t>PMC-007</w:t>
            </w:r>
          </w:p>
        </w:tc>
        <w:tc>
          <w:tcPr>
            <w:tcW w:type="dxa" w:w="1701"/>
          </w:tcPr>
          <w:p>
            <w:r>
              <w:t>`inclusions-exclusions-writer`</w:t>
            </w:r>
          </w:p>
        </w:tc>
        <w:tc>
          <w:tcPr>
            <w:tcW w:type="dxa" w:w="1701"/>
          </w:tcPr>
          <w:p>
            <w:r>
              <w:t>*(已废弃)*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**项目执行**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PMO-16</w:t>
            </w:r>
          </w:p>
        </w:tc>
        <w:tc>
          <w:tcPr>
            <w:tcW w:type="dxa" w:w="1701"/>
            <w:shd w:fill="EEF2F7" w:color="auto" w:val="clear"/>
          </w:tcPr>
          <w:p>
            <w:r>
              <w:t>`meeting-notes`</w:t>
            </w:r>
          </w:p>
        </w:tc>
        <w:tc>
          <w:tcPr>
            <w:tcW w:type="dxa" w:w="1701"/>
            <w:shd w:fill="EEF2F7" w:color="auto" w:val="clear"/>
          </w:tcPr>
          <w:p>
            <w:r>
              <w:t>会议纪要</w:t>
            </w:r>
          </w:p>
        </w:tc>
      </w:tr>
      <w:tr>
        <w:tc>
          <w:tcPr>
            <w:tcW w:type="dxa" w:w="1701"/>
          </w:tcPr>
          <w:p>
            <w:r>
              <w:t>**项目执行**</w:t>
            </w:r>
          </w:p>
        </w:tc>
        <w:tc>
          <w:tcPr>
            <w:tcW w:type="dxa" w:w="1701"/>
          </w:tcPr>
          <w:p>
            <w:r>
              <w:t>PMO-14</w:t>
            </w:r>
          </w:p>
        </w:tc>
        <w:tc>
          <w:tcPr>
            <w:tcW w:type="dxa" w:w="1701"/>
          </w:tcPr>
          <w:p>
            <w:r>
              <w:t>`report-generation`</w:t>
            </w:r>
          </w:p>
        </w:tc>
        <w:tc>
          <w:tcPr>
            <w:tcW w:type="dxa" w:w="1701"/>
          </w:tcPr>
          <w:p>
            <w:r>
              <w:t>项目报告生成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**项目执行**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PMO-17</w:t>
            </w:r>
          </w:p>
        </w:tc>
        <w:tc>
          <w:tcPr>
            <w:tcW w:type="dxa" w:w="1701"/>
            <w:shd w:fill="EEF2F7" w:color="auto" w:val="clear"/>
          </w:tcPr>
          <w:p>
            <w:r>
              <w:t>`template-management`</w:t>
            </w:r>
          </w:p>
        </w:tc>
        <w:tc>
          <w:tcPr>
            <w:tcW w:type="dxa" w:w="1701"/>
            <w:shd w:fill="EEF2F7" w:color="auto" w:val="clear"/>
          </w:tcPr>
          <w:p>
            <w:r>
              <w:t>文档模板管理</w:t>
            </w:r>
          </w:p>
        </w:tc>
      </w:tr>
      <w:tr>
        <w:tc>
          <w:tcPr>
            <w:tcW w:type="dxa" w:w="1701"/>
          </w:tcPr>
          <w:p>
            <w:r>
              <w:t>**项目执行**</w:t>
            </w:r>
          </w:p>
        </w:tc>
        <w:tc>
          <w:tcPr>
            <w:tcW w:type="dxa" w:w="1701"/>
          </w:tcPr>
          <w:p>
            <w:r>
              <w:t>PMO-18</w:t>
            </w:r>
          </w:p>
        </w:tc>
        <w:tc>
          <w:tcPr>
            <w:tcW w:type="dxa" w:w="1701"/>
          </w:tcPr>
          <w:p>
            <w:r>
              <w:t>`config-item-management`</w:t>
            </w:r>
          </w:p>
        </w:tc>
        <w:tc>
          <w:tcPr>
            <w:tcW w:type="dxa" w:w="1701"/>
          </w:tcPr>
          <w:p>
            <w:r>
              <w:t>配置项管理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**项目执行**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PMO-19</w:t>
            </w:r>
          </w:p>
        </w:tc>
        <w:tc>
          <w:tcPr>
            <w:tcW w:type="dxa" w:w="1701"/>
            <w:shd w:fill="EEF2F7" w:color="auto" w:val="clear"/>
          </w:tcPr>
          <w:p>
            <w:r>
              <w:t>`change-control`</w:t>
            </w:r>
          </w:p>
        </w:tc>
        <w:tc>
          <w:tcPr>
            <w:tcW w:type="dxa" w:w="1701"/>
            <w:shd w:fill="EEF2F7" w:color="auto" w:val="clear"/>
          </w:tcPr>
          <w:p>
            <w:r>
              <w:t>变更控制</w:t>
            </w:r>
          </w:p>
        </w:tc>
      </w:tr>
      <w:tr>
        <w:tc>
          <w:tcPr>
            <w:tcW w:type="dxa" w:w="1701"/>
          </w:tcPr>
          <w:p>
            <w:r>
              <w:t>**项目执行**</w:t>
            </w:r>
          </w:p>
        </w:tc>
        <w:tc>
          <w:tcPr>
            <w:tcW w:type="dxa" w:w="1701"/>
          </w:tcPr>
          <w:p>
            <w:r>
              <w:t>PMO-12</w:t>
            </w:r>
          </w:p>
        </w:tc>
        <w:tc>
          <w:tcPr>
            <w:tcW w:type="dxa" w:w="1701"/>
          </w:tcPr>
          <w:p>
            <w:r>
              <w:t>`deployment-planning`</w:t>
            </w:r>
          </w:p>
        </w:tc>
        <w:tc>
          <w:tcPr>
            <w:tcW w:type="dxa" w:w="1701"/>
          </w:tcPr>
          <w:p>
            <w:r>
              <w:t>投产规划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**项目执行**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PMO-20</w:t>
            </w:r>
          </w:p>
        </w:tc>
        <w:tc>
          <w:tcPr>
            <w:tcW w:type="dxa" w:w="1701"/>
            <w:shd w:fill="EEF2F7" w:color="auto" w:val="clear"/>
          </w:tcPr>
          <w:p>
            <w:r>
              <w:t>`solution-generation`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t>解决方案生成</w:t>
            </w:r>
          </w:p>
        </w:tc>
      </w:tr>
      <w:tr>
        <w:tc>
          <w:tcPr>
            <w:tcW w:type="dxa" w:w="1701"/>
          </w:tcPr>
          <w:p>
            <w:r>
              <w:t>**供应商管理**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`vendor-risk-assessment`</w:t>
            </w:r>
          </w:p>
        </w:tc>
        <w:tc>
          <w:tcPr>
            <w:tcW w:type="dxa" w:w="1701"/>
          </w:tcPr>
          <w:p>
            <w:r>
              <w:t>供应商风险评估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**项目收尾**</w:t>
            </w:r>
          </w:p>
        </w:tc>
        <w:tc>
          <w:tcPr>
            <w:tcW w:type="dxa" w:w="1701"/>
            <w:shd w:fill="EEF2F7" w:color="auto" w:val="clear"/>
          </w:tcPr>
          <w:p>
            <w:r>
              <w:t>PMC-008</w:t>
            </w:r>
          </w:p>
        </w:tc>
        <w:tc>
          <w:tcPr>
            <w:tcW w:type="dxa" w:w="1701"/>
            <w:shd w:fill="EEF2F7" w:color="auto" w:val="clear"/>
          </w:tcPr>
          <w:p>
            <w:r>
              <w:t>`closure-report-writer`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项目关闭报告</w:t>
            </w:r>
          </w:p>
        </w:tc>
      </w:tr>
      <w:tr>
        <w:tc>
          <w:tcPr>
            <w:tcW w:type="dxa" w:w="1701"/>
          </w:tcPr>
          <w:p>
            <w:r>
              <w:t>**经验总结**</w:t>
            </w:r>
          </w:p>
        </w:tc>
        <w:tc>
          <w:tcPr>
            <w:tcW w:type="dxa" w:w="1701"/>
          </w:tcPr>
          <w:p>
            <w:r>
              <w:t>PMC-009</w:t>
            </w:r>
          </w:p>
        </w:tc>
        <w:tc>
          <w:tcPr>
            <w:tcW w:type="dxa" w:w="1701"/>
          </w:tcPr>
          <w:p>
            <w:r>
              <w:t>`lessons-learned-summarizer`</w:t>
            </w:r>
          </w:p>
        </w:tc>
        <w:tc>
          <w:tcPr>
            <w:tcW w:type="dxa" w:w="1701"/>
          </w:tcPr>
          <w:p>
            <w:r>
              <w:t>经验教训总结</w:t>
            </w:r>
          </w:p>
        </w:tc>
      </w:tr>
    </w:tbl>
    <w:p>
      <w:pPr>
        <w:pStyle w:val="Heading2"/>
        <w:jc w:val="left"/>
      </w:pPr>
      <w:r>
        <w:t>二、编排链（Orchestrator Skill）</w:t>
      </w:r>
    </w:p>
    <w:p>
      <w:pPr>
        <w:spacing w:after="120"/>
      </w:pPr>
      <w:r>
        <w:t>编排链技能可一键触发多技能联动，适合复杂场景：</w:t>
      </w:r>
    </w:p>
    <w:p>
      <w:pPr>
        <w:pStyle w:val="Heading3"/>
        <w:jc w:val="left"/>
      </w:pPr>
      <w:r>
        <w:t>六大编排链</w:t>
      </w:r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① strategy-charter-orchestrator（战略决策编排）</w:t>
        <w:br/>
        <w:t xml:space="preserve">   strategy-decision-facilitation → project-charter-writer → org-structure-builder</w:t>
        <w:br/>
        <w:br/>
        <w:t>② wbs-schedule-milestone-orchestrator（WBS进度里程碑编排）</w:t>
        <w:br/>
        <w:t xml:space="preserve">   wbs-builder → schedule-sequencer → milestone-planner</w:t>
        <w:br/>
        <w:br/>
        <w:t>③ earned-value-evm-orchestrator（挣值管理编排）</w:t>
        <w:br/>
        <w:t xml:space="preserve">   earned-value-tracker → etc-reestimation-helper</w:t>
        <w:br/>
        <w:br/>
        <w:t>④ project-oversight-risk-orchestrator（项目监控与风险编排）</w:t>
        <w:br/>
        <w:t xml:space="preserve">   project-oversight → risk-register-builder</w:t>
        <w:br/>
        <w:br/>
        <w:t>⑤ org-stakeholder-communication-orchestrator（组织与沟通联动编排）</w:t>
        <w:br/>
        <w:t xml:space="preserve">   org-structure-builder → stakeholder-comms-planner</w:t>
        <w:br/>
        <w:br/>
        <w:t>⑥ cross-dept-solution-orchestrator（跨部门问题解决编排）</w:t>
        <w:br/>
        <w:t xml:space="preserve">   cross-dept-coordination → solution-generation</w:t>
      </w:r>
    </w:p>
    <w:p>
      <w:pPr>
        <w:pStyle w:val="Heading2"/>
        <w:jc w:val="left"/>
      </w:pPr>
      <w:r>
        <w:t>三、Agent与Skill调用方式</w:t>
      </w:r>
    </w:p>
    <w:p>
      <w:pPr>
        <w:pStyle w:val="Heading3"/>
        <w:jc w:val="left"/>
      </w:pPr>
      <w:r>
        <w:t>3.1 通过Hermes Agent调用Skill</w:t>
      </w:r>
    </w:p>
    <w:p>
      <w:pPr>
        <w:spacing w:after="120"/>
      </w:pPr>
      <w:r>
        <w:t>在Hermes Agent中，使用以下方式触发Skill：</w:t>
      </w:r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@hermes load skill:&lt;skill-name&gt;</w:t>
        <w:br/>
        <w:br/>
        <w:t>示例：</w:t>
        <w:br/>
        <w:t xml:space="preserve">  @hermes load skill:project-charter-writer</w:t>
        <w:br/>
        <w:t xml:space="preserve">  @hermes load skill:milestone-planner</w:t>
      </w:r>
    </w:p>
    <w:p>
      <w:pPr>
        <w:spacing w:after="120"/>
      </w:pPr>
      <w:r>
        <w:t>加载后，Agent会读取该Skill的完整指令内容并按流程执行。</w:t>
      </w:r>
    </w:p>
    <w:p>
      <w:pPr>
        <w:pStyle w:val="Heading3"/>
        <w:jc w:val="left"/>
      </w:pPr>
      <w:r>
        <w:t>3.2 Agent职责分配建议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项目立项与战略决策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`strategic-execution-agent`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`strategy-decision-facilitation` → `project-charter-writer` → `org-structure-builder`</w:t>
            </w:r>
          </w:p>
        </w:tc>
      </w:tr>
      <w:tr>
        <w:tc>
          <w:tcPr>
            <w:tcW w:type="dxa" w:w="1701"/>
          </w:tcPr>
          <w:p>
            <w:r>
              <w:t>项目规划（WBS/进度/里程碑）</w:t>
            </w:r>
          </w:p>
        </w:tc>
        <w:tc>
          <w:tcPr>
            <w:tcW w:type="dxa" w:w="1701"/>
          </w:tcPr>
          <w:p>
            <w:r>
              <w:t>`project-control-agent`</w:t>
            </w:r>
          </w:p>
        </w:tc>
        <w:tc>
          <w:tcPr>
            <w:tcW w:type="dxa" w:w="1701"/>
          </w:tcPr>
          <w:p>
            <w:r>
              <w:t>`wbs-schedule-milestone-orchestrator`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项目规划（成本/EVM）</w:t>
            </w:r>
          </w:p>
        </w:tc>
        <w:tc>
          <w:tcPr>
            <w:tcW w:type="dxa" w:w="1701"/>
            <w:shd w:fill="EEF2F7" w:color="auto" w:val="clear"/>
          </w:tcPr>
          <w:p>
            <w:r>
              <w:t>`project-control-agent`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t>`earned-value-evm-orchestrator`</w:t>
            </w:r>
          </w:p>
        </w:tc>
      </w:tr>
      <w:tr>
        <w:tc>
          <w:tcPr>
            <w:tcW w:type="dxa" w:w="1701"/>
          </w:tcPr>
          <w:p>
            <w:r>
              <w:t>项目规划（风险）</w:t>
            </w:r>
          </w:p>
        </w:tc>
        <w:tc>
          <w:tcPr>
            <w:tcW w:type="dxa" w:w="1701"/>
          </w:tcPr>
          <w:p>
            <w:r>
              <w:t>`project-control-agent`</w:t>
            </w:r>
          </w:p>
        </w:tc>
        <w:tc>
          <w:tcPr>
            <w:tcW w:type="dxa" w:w="1701"/>
          </w:tcPr>
          <w:p>
            <w:r>
              <w:t>`project-oversight-risk-orchestrator`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日常执行与报告</w:t>
            </w:r>
          </w:p>
        </w:tc>
        <w:tc>
          <w:tcPr>
            <w:tcW w:type="dxa" w:w="1701"/>
            <w:shd w:fill="EEF2F7" w:color="auto" w:val="clear"/>
          </w:tcPr>
          <w:p>
            <w:r>
              <w:t>`project-execution-agent`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t>`meeting-notes` + `report-generation`</w:t>
            </w:r>
          </w:p>
        </w:tc>
      </w:tr>
      <w:tr>
        <w:tc>
          <w:tcPr>
            <w:tcW w:type="dxa" w:w="1701"/>
          </w:tcPr>
          <w:p>
            <w:r>
              <w:t>变更与配置管理</w:t>
            </w:r>
          </w:p>
        </w:tc>
        <w:tc>
          <w:tcPr>
            <w:tcW w:type="dxa" w:w="1701"/>
          </w:tcPr>
          <w:p>
            <w:r>
              <w:t>`project-execution-agent`</w:t>
            </w:r>
          </w:p>
        </w:tc>
        <w:tc>
          <w:tcPr>
            <w:tcW w:type="dxa" w:w="1701"/>
          </w:tcPr>
          <w:p>
            <w:r>
              <w:t>`change-control` + `config-item-management`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质量管理/合规检查</w:t>
            </w:r>
          </w:p>
        </w:tc>
        <w:tc>
          <w:tcPr>
            <w:tcW w:type="dxa" w:w="1701"/>
            <w:shd w:fill="EEF2F7" w:color="auto" w:val="clear"/>
          </w:tcPr>
          <w:p>
            <w:r>
              <w:t>`project-inspection-agent`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t>`compliance-check` + `architecture-review`</w:t>
            </w:r>
          </w:p>
        </w:tc>
      </w:tr>
      <w:tr>
        <w:tc>
          <w:tcPr>
            <w:tcW w:type="dxa" w:w="1701"/>
          </w:tcPr>
          <w:p>
            <w:r>
              <w:t>供应商管理</w:t>
            </w:r>
          </w:p>
        </w:tc>
        <w:tc>
          <w:tcPr>
            <w:tcW w:type="dxa" w:w="1701"/>
          </w:tcPr>
          <w:p>
            <w:r>
              <w:t>`project-inspection-agent`</w:t>
            </w:r>
          </w:p>
        </w:tc>
        <w:tc>
          <w:tcPr>
            <w:tcW w:type="dxa" w:w="1701"/>
          </w:tcPr>
          <w:p>
            <w:r>
              <w:t>`vendor-risk-assessment`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跨部门协调</w:t>
            </w:r>
          </w:p>
        </w:tc>
        <w:tc>
          <w:tcPr>
            <w:tcW w:type="dxa" w:w="1701"/>
            <w:shd w:fill="EEF2F7" w:color="auto" w:val="clear"/>
          </w:tcPr>
          <w:p>
            <w:r>
              <w:t>`project-control-agent`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t>`cross-dept-solution-orchestrator`</w:t>
            </w:r>
          </w:p>
        </w:tc>
      </w:tr>
      <w:tr>
        <w:tc>
          <w:tcPr>
            <w:tcW w:type="dxa" w:w="1701"/>
          </w:tcPr>
          <w:p>
            <w:r>
              <w:t>项目关闭</w:t>
            </w:r>
          </w:p>
        </w:tc>
        <w:tc>
          <w:tcPr>
            <w:tcW w:type="dxa" w:w="1701"/>
          </w:tcPr>
          <w:p>
            <w:r>
              <w:t>`project-execution-agent`</w:t>
            </w:r>
          </w:p>
        </w:tc>
        <w:tc>
          <w:tcPr>
            <w:tcW w:type="dxa" w:w="1701"/>
          </w:tcPr>
          <w:p>
            <w:r>
              <w:t>`closure-report-writer` + `lessons-learned-summarizer`</w:t>
            </w:r>
          </w:p>
        </w:tc>
      </w:tr>
    </w:tbl>
    <w:p>
      <w:pPr>
        <w:pStyle w:val="Heading2"/>
        <w:jc w:val="left"/>
      </w:pPr>
      <w:r>
        <w:t>四、典型业务场景调用指南</w:t>
      </w:r>
    </w:p>
    <w:p>
      <w:pPr>
        <w:pStyle w:val="Heading3"/>
        <w:jc w:val="left"/>
      </w:pPr>
      <w:r>
        <w:t>场景1：新项目立项启动</w:t>
      </w:r>
    </w:p>
    <w:p>
      <w:pPr>
        <w:spacing w:after="120"/>
      </w:pPr>
      <w:r/>
      <w:r>
        <w:rPr>
          <w:b/>
        </w:rPr>
        <w:t>目标：</w:t>
      </w:r>
      <w:r>
        <w:t xml:space="preserve"> 完成从战略决策到项目章程编写的全流程。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skill:strategy-charter-orchestrator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战略问题描述</w:t>
      </w:r>
    </w:p>
    <w:p>
      <w:pPr>
        <w:spacing w:after="120"/>
      </w:pPr>
      <w:r>
        <w:t>- 干系人及其立场</w:t>
      </w:r>
    </w:p>
    <w:p>
      <w:pPr>
        <w:spacing w:after="120"/>
      </w:pPr>
      <w:r>
        <w:t>- 业务背景与约束</w:t>
      </w:r>
    </w:p>
    <w:p>
      <w:pPr>
        <w:spacing w:after="120"/>
      </w:pPr>
      <w:r>
        <w:t>- 决策标准（如已知）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`strategy-decision-facilitation` — 引导战略决策</w:t>
      </w:r>
    </w:p>
    <w:p>
      <w:pPr>
        <w:spacing w:after="120"/>
      </w:pPr>
      <w:r>
        <w:t>2. `project-charter-writer` — 编写项目章程</w:t>
      </w:r>
    </w:p>
    <w:p>
      <w:pPr>
        <w:spacing w:after="120"/>
      </w:pPr>
      <w:r>
        <w:t>3. `org-structure-builder` — 设计组织架构</w:t>
      </w:r>
    </w:p>
    <w:p>
      <w:pPr>
        <w:pStyle w:val="Heading3"/>
        <w:jc w:val="left"/>
      </w:pPr>
      <w:r>
        <w:t>场景2：制定项目三层计划（WBS + 进度 + 里程碑）</w:t>
      </w:r>
    </w:p>
    <w:p>
      <w:pPr>
        <w:spacing w:after="120"/>
      </w:pPr>
      <w:r/>
      <w:r>
        <w:rPr>
          <w:b/>
        </w:rPr>
        <w:t>目标：</w:t>
      </w:r>
      <w:r>
        <w:t xml:space="preserve"> 获得L1/L2/L3计划体系和里程碑清单。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skill:wbs-schedule-milestone-orchestrator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项目范围说明书</w:t>
      </w:r>
    </w:p>
    <w:p>
      <w:pPr>
        <w:spacing w:after="120"/>
      </w:pPr>
      <w:r>
        <w:t>- 项目阶段划分</w:t>
      </w:r>
    </w:p>
    <w:p>
      <w:pPr>
        <w:spacing w:after="120"/>
      </w:pPr>
      <w:r>
        <w:t>- 工作包初步清单（如有）</w:t>
      </w:r>
    </w:p>
    <w:p>
      <w:pPr>
        <w:spacing w:after="120"/>
      </w:pPr>
      <w:r>
        <w:t>- 工期估算依据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`wbs-builder` — 分解三层WBS</w:t>
      </w:r>
    </w:p>
    <w:p>
      <w:pPr>
        <w:spacing w:after="120"/>
      </w:pPr>
      <w:r>
        <w:t>2. `schedule-sequencer` — 关键路径排序</w:t>
      </w:r>
    </w:p>
    <w:p>
      <w:pPr>
        <w:spacing w:after="120"/>
      </w:pPr>
      <w:r>
        <w:t>3. `milestone-planner` — 定义四类里程碑</w:t>
      </w:r>
    </w:p>
    <w:p>
      <w:pPr>
        <w:pStyle w:val="Heading3"/>
        <w:jc w:val="left"/>
      </w:pPr>
      <w:r>
        <w:t>场景3：月度EVM绩效评估与重新估算</w:t>
      </w:r>
    </w:p>
    <w:p>
      <w:pPr>
        <w:spacing w:after="120"/>
      </w:pPr>
      <w:r/>
      <w:r>
        <w:rPr>
          <w:b/>
        </w:rPr>
        <w:t>目标：</w:t>
      </w:r>
      <w:r>
        <w:t xml:space="preserve"> 获得当月EVM绩效报告 + ETC重新估算结果。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skill:earned-value-evm-orchestrator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当月PV、AC、EV数据</w:t>
      </w:r>
    </w:p>
    <w:p>
      <w:pPr>
        <w:spacing w:after="120"/>
      </w:pPr>
      <w:r>
        <w:t>- 原始项目基线</w:t>
      </w:r>
    </w:p>
    <w:p>
      <w:pPr>
        <w:spacing w:after="120"/>
      </w:pPr>
      <w:r>
        <w:t>- 绩效分析需求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`earned-value-tracker` — 计算SPI/CPI/EAC</w:t>
      </w:r>
    </w:p>
    <w:p>
      <w:pPr>
        <w:spacing w:after="120"/>
      </w:pPr>
      <w:r>
        <w:t>2. `etc-reestimation-helper` — ETC重新估算</w:t>
      </w:r>
    </w:p>
    <w:p>
      <w:pPr>
        <w:pStyle w:val="Heading3"/>
        <w:jc w:val="left"/>
      </w:pPr>
      <w:r>
        <w:t>场景4：项目监控与风险更新（月度/季度）</w:t>
      </w:r>
    </w:p>
    <w:p>
      <w:pPr>
        <w:spacing w:after="120"/>
      </w:pPr>
      <w:r/>
      <w:r>
        <w:rPr>
          <w:b/>
        </w:rPr>
        <w:t>目标：</w:t>
      </w:r>
      <w:r>
        <w:t xml:space="preserve"> 偏差分析报告 + 更新的风险登记册。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skill:project-oversight-risk-orchestrator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最新项目进度数据</w:t>
      </w:r>
    </w:p>
    <w:p>
      <w:pPr>
        <w:spacing w:after="120"/>
      </w:pPr>
      <w:r>
        <w:t>- 问题日志</w:t>
      </w:r>
    </w:p>
    <w:p>
      <w:pPr>
        <w:spacing w:after="120"/>
      </w:pPr>
      <w:r>
        <w:t>- 原有风险登记册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`project-oversight` — 进度偏差分析</w:t>
      </w:r>
    </w:p>
    <w:p>
      <w:pPr>
        <w:spacing w:after="120"/>
      </w:pPr>
      <w:r>
        <w:t>2. `risk-register-builder` — 风险更新</w:t>
      </w:r>
    </w:p>
    <w:p>
      <w:pPr>
        <w:pStyle w:val="Heading3"/>
        <w:jc w:val="left"/>
      </w:pPr>
      <w:r>
        <w:t>场景5：跨部门问题解决</w:t>
      </w:r>
    </w:p>
    <w:p>
      <w:pPr>
        <w:spacing w:after="120"/>
      </w:pPr>
      <w:r/>
      <w:r>
        <w:rPr>
          <w:b/>
        </w:rPr>
        <w:t>目标：</w:t>
      </w:r>
      <w:r>
        <w:t xml:space="preserve"> 系统性解决影响多个部门的复杂问题。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skill:cross-dept-solution-orchestrator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问题描述</w:t>
      </w:r>
    </w:p>
    <w:p>
      <w:pPr>
        <w:spacing w:after="120"/>
      </w:pPr>
      <w:r>
        <w:t>- 涉及的部门</w:t>
      </w:r>
    </w:p>
    <w:p>
      <w:pPr>
        <w:spacing w:after="120"/>
      </w:pPr>
      <w:r>
        <w:t>- 已有数据和分析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`cross-dept-coordination` — 跨部门协调机制</w:t>
      </w:r>
    </w:p>
    <w:p>
      <w:pPr>
        <w:spacing w:after="120"/>
      </w:pPr>
      <w:r>
        <w:t>2. `solution-generation` — 多方案生成评估</w:t>
      </w:r>
    </w:p>
    <w:p>
      <w:pPr>
        <w:pStyle w:val="Heading3"/>
        <w:jc w:val="left"/>
      </w:pPr>
      <w:r>
        <w:t>场景6：召开项目会议并生成纪要</w:t>
      </w:r>
    </w:p>
    <w:p>
      <w:pPr>
        <w:spacing w:after="120"/>
      </w:pPr>
      <w:r/>
      <w:r>
        <w:rPr>
          <w:b/>
        </w:rPr>
        <w:t>目标：</w:t>
      </w:r>
      <w:r>
        <w:t xml:space="preserve"> 结构化记录会议决议并跟踪行动项。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skill:meeting-notes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会议基本信息（时间、地点、参会人、主持人）</w:t>
      </w:r>
    </w:p>
    <w:p>
      <w:pPr>
        <w:spacing w:after="120"/>
      </w:pPr>
      <w:r>
        <w:t>- 会议主题和议程</w:t>
      </w:r>
    </w:p>
    <w:p>
      <w:pPr>
        <w:spacing w:after="120"/>
      </w:pPr>
      <w:r>
        <w:t>- 讨论内容摘要</w:t>
      </w:r>
    </w:p>
    <w:p>
      <w:pPr>
        <w:spacing w:after="120"/>
      </w:pPr>
      <w:r>
        <w:t>- 决议事项</w:t>
      </w:r>
    </w:p>
    <w:p>
      <w:pPr>
        <w:spacing w:after="120"/>
      </w:pPr>
      <w:r>
        <w:t>- 行动项（责任人、完成时间）</w:t>
      </w:r>
    </w:p>
    <w:p>
      <w:pPr>
        <w:pStyle w:val="Heading3"/>
        <w:jc w:val="left"/>
      </w:pPr>
      <w:r>
        <w:t>场景7：编写项目章程</w:t>
      </w:r>
    </w:p>
    <w:p>
      <w:pPr>
        <w:spacing w:after="120"/>
      </w:pPr>
      <w:r/>
      <w:r>
        <w:rPr>
          <w:b/>
        </w:rPr>
        <w:t>目标：</w:t>
      </w:r>
      <w:r>
        <w:t xml:space="preserve"> 输出符合银行IT项目规范的项目管理章程。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skill:project-charter-writer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问题/机会陈述</w:t>
      </w:r>
    </w:p>
    <w:p>
      <w:pPr>
        <w:spacing w:after="120"/>
      </w:pPr>
      <w:r>
        <w:t>- 项目目标</w:t>
      </w:r>
    </w:p>
    <w:p>
      <w:pPr>
        <w:spacing w:after="120"/>
      </w:pPr>
      <w:r>
        <w:t>- 已知干系人</w:t>
      </w:r>
    </w:p>
    <w:p>
      <w:pPr>
        <w:spacing w:after="120"/>
      </w:pPr>
      <w:r>
        <w:t>- 约束条件</w:t>
      </w:r>
    </w:p>
    <w:p>
      <w:pPr>
        <w:spacing w:after="120"/>
      </w:pPr>
      <w:r>
        <w:t>- 成功标准（如已知）</w:t>
      </w:r>
    </w:p>
    <w:p>
      <w:pPr>
        <w:pStyle w:val="Heading3"/>
        <w:jc w:val="left"/>
      </w:pPr>
      <w:r>
        <w:t>场景8：合规检查（每月/每季度）</w:t>
      </w:r>
    </w:p>
    <w:p>
      <w:pPr>
        <w:spacing w:after="120"/>
      </w:pPr>
      <w:r/>
      <w:r>
        <w:rPr>
          <w:b/>
        </w:rPr>
        <w:t>目标：</w:t>
      </w:r>
      <w:r>
        <w:t xml:space="preserve"> 输出合规检查报告，识别不符合项并推动整改。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skill:compliance-check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项目管理制度</w:t>
      </w:r>
    </w:p>
    <w:p>
      <w:pPr>
        <w:spacing w:after="120"/>
      </w:pPr>
      <w:r>
        <w:t>- 合规性要求（监管文件）</w:t>
      </w:r>
    </w:p>
    <w:p>
      <w:pPr>
        <w:spacing w:after="120"/>
      </w:pPr>
      <w:r>
        <w:t>- 检查周期</w:t>
      </w:r>
    </w:p>
    <w:p>
      <w:pPr>
        <w:spacing w:after="120"/>
      </w:pPr>
      <w:r>
        <w:t>- 前期审计结果（如有）</w:t>
      </w:r>
    </w:p>
    <w:p>
      <w:pPr>
        <w:pStyle w:val="Heading3"/>
        <w:jc w:val="left"/>
      </w:pPr>
      <w:r>
        <w:t>场景9：供应商风险评估</w:t>
      </w:r>
    </w:p>
    <w:p>
      <w:pPr>
        <w:spacing w:after="120"/>
      </w:pPr>
      <w:r/>
      <w:r>
        <w:rPr>
          <w:b/>
        </w:rPr>
        <w:t>目标：</w:t>
      </w:r>
      <w:r>
        <w:t xml:space="preserve"> 获得供应商准入/存量评估的综合评分与采购建议。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skill:vendor-risk-assessment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供应商名称</w:t>
      </w:r>
    </w:p>
    <w:p>
      <w:pPr>
        <w:spacing w:after="120"/>
      </w:pPr>
      <w:r>
        <w:t>- 资质合规材料</w:t>
      </w:r>
    </w:p>
    <w:p>
      <w:pPr>
        <w:spacing w:after="120"/>
      </w:pPr>
      <w:r>
        <w:t>- 历史绩效数据</w:t>
      </w:r>
    </w:p>
    <w:p>
      <w:pPr>
        <w:spacing w:after="120"/>
      </w:pPr>
      <w:r>
        <w:t>- 技术风险评估资料</w:t>
      </w:r>
    </w:p>
    <w:p>
      <w:pPr>
        <w:pStyle w:val="Heading3"/>
        <w:jc w:val="left"/>
      </w:pPr>
      <w:r>
        <w:t>场景10：项目关闭与经验总结</w:t>
      </w:r>
    </w:p>
    <w:p>
      <w:pPr>
        <w:spacing w:after="120"/>
      </w:pPr>
      <w:r/>
      <w:r>
        <w:rPr>
          <w:b/>
        </w:rPr>
        <w:t>目标：</w:t>
      </w:r>
      <w:r>
        <w:t xml:space="preserve"> 正式关闭项目，输出关闭报告和经验教训总结。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skill:closure-report-writer</w:t>
        <w:br/>
        <w:t>load skill:lessons-learned-summarizer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项目最终状态（完成/取消/终止）</w:t>
      </w:r>
    </w:p>
    <w:p>
      <w:pPr>
        <w:spacing w:after="120"/>
      </w:pPr>
      <w:r>
        <w:t>- 所有项目记录归档位置</w:t>
      </w:r>
    </w:p>
    <w:p>
      <w:pPr>
        <w:spacing w:after="120"/>
      </w:pPr>
      <w:r>
        <w:t>- 经验教训素材</w:t>
      </w:r>
    </w:p>
    <w:p>
      <w:pPr>
        <w:pStyle w:val="Heading2"/>
        <w:jc w:val="left"/>
      </w:pPr>
      <w:r>
        <w:t>五、Skill调用入口速查</w:t>
      </w:r>
    </w:p>
    <w:p>
      <w:pPr>
        <w:pStyle w:val="Heading3"/>
        <w:jc w:val="left"/>
      </w:pPr>
      <w:r>
        <w:t>按字母序（34个可用Skill）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`architecture-review`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架构评审报告</w:t>
            </w:r>
          </w:p>
        </w:tc>
      </w:tr>
      <w:tr>
        <w:tc>
          <w:tcPr>
            <w:tcW w:type="dxa" w:w="1701"/>
          </w:tcPr>
          <w:p>
            <w:r>
              <w:t>`change-control`</w:t>
            </w:r>
          </w:p>
        </w:tc>
        <w:tc>
          <w:tcPr>
            <w:tcW w:type="dxa" w:w="1701"/>
          </w:tcPr>
          <w:p>
            <w:r>
              <w:t>变更申请单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`closure-report-writer`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项目关闭报告</w:t>
            </w:r>
          </w:p>
        </w:tc>
      </w:tr>
      <w:tr>
        <w:tc>
          <w:tcPr>
            <w:tcW w:type="dxa" w:w="1701"/>
          </w:tcPr>
          <w:p>
            <w:r>
              <w:t>`compliance-check`</w:t>
            </w:r>
          </w:p>
        </w:tc>
        <w:tc>
          <w:tcPr>
            <w:tcW w:type="dxa" w:w="1701"/>
          </w:tcPr>
          <w:p>
            <w:r>
              <w:t>合规检查报告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`config-item-management`</w:t>
            </w:r>
          </w:p>
        </w:tc>
        <w:tc>
          <w:tcPr>
            <w:tcW w:type="dxa" w:w="1701"/>
            <w:shd w:fill="EEF2F7" w:color="auto" w:val="clear"/>
          </w:tcPr>
          <w:p>
            <w:r>
              <w:t>配置项登记册</w:t>
            </w:r>
          </w:p>
        </w:tc>
      </w:tr>
      <w:tr>
        <w:tc>
          <w:tcPr>
            <w:tcW w:type="dxa" w:w="1701"/>
          </w:tcPr>
          <w:p>
            <w:r>
              <w:t>`constraint-assumption-register-builder`</w:t>
            </w:r>
          </w:p>
        </w:tc>
        <w:tc>
          <w:tcPr>
            <w:tcW w:type="dxa" w:w="1701"/>
          </w:tcPr>
          <w:p>
            <w:r>
              <w:t>约束与假设登记册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`cost-estimation-helper`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成本估算申请表</w:t>
            </w:r>
          </w:p>
        </w:tc>
      </w:tr>
      <w:tr>
        <w:tc>
          <w:tcPr>
            <w:tcW w:type="dxa" w:w="1701"/>
          </w:tcPr>
          <w:p>
            <w:r>
              <w:t>`cross-dept-coordination`</w:t>
            </w:r>
          </w:p>
        </w:tc>
        <w:tc>
          <w:tcPr>
            <w:tcW w:type="dxa" w:w="1701"/>
          </w:tcPr>
          <w:p>
            <w:r>
              <w:t>跨部门资源共享协议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`cross-dept-solution-orchestrator`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t>跨部门问题解决编排</w:t>
            </w:r>
          </w:p>
        </w:tc>
      </w:tr>
      <w:tr>
        <w:tc>
          <w:tcPr>
            <w:tcW w:type="dxa" w:w="1701"/>
          </w:tcPr>
          <w:p>
            <w:r>
              <w:t>`deployment-planning`</w:t>
            </w:r>
          </w:p>
        </w:tc>
        <w:tc>
          <w:tcPr>
            <w:tcW w:type="dxa" w:w="1701"/>
          </w:tcPr>
          <w:p>
            <w:r>
              <w:t>投产规划方案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`earned-value-evm-orchestrator`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t>挣值管理编排</w:t>
            </w:r>
          </w:p>
        </w:tc>
      </w:tr>
      <w:tr>
        <w:tc>
          <w:tcPr>
            <w:tcW w:type="dxa" w:w="1701"/>
          </w:tcPr>
          <w:p>
            <w:r>
              <w:t>`earned-value-tracker`</w:t>
            </w:r>
          </w:p>
        </w:tc>
        <w:tc>
          <w:tcPr>
            <w:tcW w:type="dxa" w:w="1701"/>
          </w:tcPr>
          <w:p>
            <w:r>
              <w:t>EVM绩效报告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`etc-reestimation-helper`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ETC重新估算申请表</w:t>
            </w:r>
          </w:p>
        </w:tc>
      </w:tr>
      <w:tr>
        <w:tc>
          <w:tcPr>
            <w:tcW w:type="dxa" w:w="1701"/>
          </w:tcPr>
          <w:p>
            <w:r>
              <w:t>`ethics-management-plan-writer`</w:t>
            </w:r>
          </w:p>
        </w:tc>
        <w:tc>
          <w:tcPr>
            <w:tcW w:type="dxa" w:w="1701"/>
          </w:tcPr>
          <w:p>
            <w:r>
              <w:t>伦理合规管理计划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`executive-communication`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t>高管简报</w:t>
            </w:r>
          </w:p>
        </w:tc>
      </w:tr>
      <w:tr>
        <w:tc>
          <w:tcPr>
            <w:tcW w:type="dxa" w:w="1701"/>
          </w:tcPr>
          <w:p>
            <w:r>
              <w:t>`lessons-learned-summarizer`</w:t>
            </w:r>
          </w:p>
        </w:tc>
        <w:tc>
          <w:tcPr>
            <w:tcW w:type="dxa" w:w="1701"/>
          </w:tcPr>
          <w:p>
            <w:r>
              <w:t>经验教训总结报告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`meeting-notes`</w:t>
            </w:r>
          </w:p>
        </w:tc>
        <w:tc>
          <w:tcPr>
            <w:tcW w:type="dxa" w:w="1701"/>
            <w:shd w:fill="EEF2F7" w:color="auto" w:val="clear"/>
          </w:tcPr>
          <w:p>
            <w:r>
              <w:t>会议纪要</w:t>
            </w:r>
          </w:p>
        </w:tc>
      </w:tr>
      <w:tr>
        <w:tc>
          <w:tcPr>
            <w:tcW w:type="dxa" w:w="1701"/>
          </w:tcPr>
          <w:p>
            <w:r>
              <w:t>`milestone-planner`</w:t>
            </w:r>
          </w:p>
        </w:tc>
        <w:tc>
          <w:tcPr>
            <w:tcW w:type="dxa" w:w="1701"/>
          </w:tcPr>
          <w:p>
            <w:r>
              <w:t>里程碑规划报告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`org-stakeholder-communication-orchestrator`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t>组织与干系人沟通编排</w:t>
            </w:r>
          </w:p>
        </w:tc>
      </w:tr>
      <w:tr>
        <w:tc>
          <w:tcPr>
            <w:tcW w:type="dxa" w:w="1701"/>
          </w:tcPr>
          <w:p>
            <w:r>
              <w:t>`org-structure-builder`</w:t>
            </w:r>
          </w:p>
        </w:tc>
        <w:tc>
          <w:tcPr>
            <w:tcW w:type="dxa" w:w="1701"/>
          </w:tcPr>
          <w:p>
            <w:r>
              <w:t>组织架构说明书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`project-charter-writer`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项目管理章程</w:t>
            </w:r>
          </w:p>
        </w:tc>
      </w:tr>
      <w:tr>
        <w:tc>
          <w:tcPr>
            <w:tcW w:type="dxa" w:w="1701"/>
          </w:tcPr>
          <w:p>
            <w:r>
              <w:t>`project-oversight`</w:t>
            </w:r>
          </w:p>
        </w:tc>
        <w:tc>
          <w:tcPr>
            <w:tcW w:type="dxa" w:w="1701"/>
          </w:tcPr>
          <w:p>
            <w:r>
              <w:t>偏差分析报告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`project-oversight-risk-orchestrator`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t>项目监控与风险编排</w:t>
            </w:r>
          </w:p>
        </w:tc>
      </w:tr>
      <w:tr>
        <w:tc>
          <w:tcPr>
            <w:tcW w:type="dxa" w:w="1701"/>
          </w:tcPr>
          <w:p>
            <w:r>
              <w:t>`report-generation`</w:t>
            </w:r>
          </w:p>
        </w:tc>
        <w:tc>
          <w:tcPr>
            <w:tcW w:type="dxa" w:w="1701"/>
          </w:tcPr>
          <w:p>
            <w:r>
              <w:t>项目报告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`requirements-control`</w:t>
            </w:r>
          </w:p>
        </w:tc>
        <w:tc>
          <w:tcPr>
            <w:tcW w:type="dxa" w:w="1701"/>
            <w:shd w:fill="EEF2F7" w:color="auto" w:val="clear"/>
          </w:tcPr>
          <w:p>
            <w:r>
              <w:t>需求评审报告</w:t>
            </w:r>
          </w:p>
        </w:tc>
      </w:tr>
      <w:tr>
        <w:tc>
          <w:tcPr>
            <w:tcW w:type="dxa" w:w="1701"/>
          </w:tcPr>
          <w:p>
            <w:r>
              <w:t>`risk-register-builder`</w:t>
            </w:r>
          </w:p>
        </w:tc>
        <w:tc>
          <w:tcPr>
            <w:tcW w:type="dxa" w:w="1701"/>
          </w:tcPr>
          <w:p>
            <w:r>
              <w:t>风险登记册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`schedule-sequencer`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进度计划书</w:t>
            </w:r>
          </w:p>
        </w:tc>
      </w:tr>
      <w:tr>
        <w:tc>
          <w:tcPr>
            <w:tcW w:type="dxa" w:w="1701"/>
          </w:tcPr>
          <w:p>
            <w:r>
              <w:t>`scope-management`</w:t>
            </w:r>
          </w:p>
        </w:tc>
        <w:tc>
          <w:tcPr>
            <w:tcW w:type="dxa" w:w="1701"/>
          </w:tcPr>
          <w:p>
            <w:r>
              <w:t>范围管理计划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`solution-generation`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t>解决方案生成</w:t>
            </w:r>
          </w:p>
        </w:tc>
      </w:tr>
      <w:tr>
        <w:tc>
          <w:tcPr>
            <w:tcW w:type="dxa" w:w="1701"/>
          </w:tcPr>
          <w:p>
            <w:r>
              <w:t>`stakeholder-comms-planner`</w:t>
            </w:r>
          </w:p>
        </w:tc>
        <w:tc>
          <w:tcPr>
            <w:tcW w:type="dxa" w:w="1701"/>
          </w:tcPr>
          <w:p>
            <w:r>
              <w:t>干系人沟通计划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`strategy-charter-orchestrator`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t>战略决策编排</w:t>
            </w:r>
          </w:p>
        </w:tc>
      </w:tr>
      <w:tr>
        <w:tc>
          <w:tcPr>
            <w:tcW w:type="dxa" w:w="1701"/>
          </w:tcPr>
          <w:p>
            <w:r>
              <w:t>`strategy-decision-facilitation`</w:t>
            </w:r>
          </w:p>
        </w:tc>
        <w:tc>
          <w:tcPr>
            <w:tcW w:type="dxa" w:w="1701"/>
          </w:tcPr>
          <w:p>
            <w:r>
              <w:t>战略决策报告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`template-management`</w:t>
            </w:r>
          </w:p>
        </w:tc>
        <w:tc>
          <w:tcPr>
            <w:tcW w:type="dxa" w:w="1701"/>
            <w:shd w:fill="EEF2F7" w:color="auto" w:val="clear"/>
          </w:tcPr>
          <w:p>
            <w:r>
              <w:t>项目文档模板库</w:t>
            </w:r>
          </w:p>
        </w:tc>
      </w:tr>
      <w:tr>
        <w:tc>
          <w:tcPr>
            <w:tcW w:type="dxa" w:w="1701"/>
          </w:tcPr>
          <w:p>
            <w:r>
              <w:t>`vendor-risk-assessment`</w:t>
            </w:r>
          </w:p>
        </w:tc>
        <w:tc>
          <w:tcPr>
            <w:tcW w:type="dxa" w:w="1701"/>
          </w:tcPr>
          <w:p>
            <w:r>
              <w:t>供应商风险评估报告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`wbs-builder`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WBS工作分解结构</w:t>
            </w:r>
          </w:p>
        </w:tc>
      </w:tr>
      <w:tr>
        <w:tc>
          <w:tcPr>
            <w:tcW w:type="dxa" w:w="1701"/>
          </w:tcPr>
          <w:p>
            <w:r>
              <w:t>`wbs-schedule-milestone-orchestrator`</w:t>
            </w:r>
          </w:p>
        </w:tc>
        <w:tc>
          <w:tcPr>
            <w:tcW w:type="dxa" w:w="1701"/>
          </w:tcPr>
          <w:p>
            <w:r>
              <w:t>WBS进度里程碑编排</w:t>
            </w:r>
          </w:p>
        </w:tc>
      </w:tr>
    </w:tbl>
    <w:p>
      <w:pPr>
        <w:pStyle w:val="Heading2"/>
        <w:jc w:val="left"/>
      </w:pPr>
      <w:r>
        <w:t>六、质量保障（Quality Gates）</w:t>
      </w:r>
    </w:p>
    <w:p>
      <w:pPr>
        <w:spacing w:after="120"/>
      </w:pPr>
      <w:r>
        <w:t>各Skill内置质量门，确保输出符合标准：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`project-charter-writer`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FFFFFF"/>
              </w:rPr>
              <w:t>范围/目标/干系人/治理结构/交付物清单 5项必填</w:t>
            </w:r>
          </w:p>
        </w:tc>
      </w:tr>
      <w:tr>
        <w:tc>
          <w:tcPr>
            <w:tcW w:type="dxa" w:w="1701"/>
          </w:tcPr>
          <w:p>
            <w:r>
              <w:t>`milestone-planner`</w:t>
            </w:r>
          </w:p>
        </w:tc>
        <w:tc>
          <w:tcPr>
            <w:tcW w:type="dxa" w:w="1701"/>
          </w:tcPr>
          <w:p>
            <w:r>
              <w:t>入口/出口标准定义、审计轨迹、状态流转合规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`earned-value-tracker`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数据来源可追溯、公式正确、阈值判断明确</w:t>
            </w:r>
          </w:p>
        </w:tc>
      </w:tr>
      <w:tr>
        <w:tc>
          <w:tcPr>
            <w:tcW w:type="dxa" w:w="1701"/>
          </w:tcPr>
          <w:p>
            <w:r>
              <w:t>`meeting-notes`</w:t>
            </w:r>
          </w:p>
        </w:tc>
        <w:tc>
          <w:tcPr>
            <w:tcW w:type="dxa" w:w="1701"/>
          </w:tcPr>
          <w:p>
            <w:r>
              <w:t>决议明确、行动项落实到人、下次会议安排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`compliance-check`</w:t>
            </w:r>
          </w:p>
        </w:tc>
        <w:tc>
          <w:tcPr>
            <w:tcW w:type="dxa" w:w="1701"/>
            <w:shd w:fill="EEF2F7" w:color="auto" w:val="clear"/>
          </w:tcPr>
          <w:p>
            <w:r>
              <w:t>检查项覆盖100%、不符合项有整改计划</w:t>
            </w:r>
          </w:p>
        </w:tc>
      </w:tr>
      <w:tr>
        <w:tc>
          <w:tcPr>
            <w:tcW w:type="dxa" w:w="1701"/>
          </w:tcPr>
          <w:p>
            <w:r>
              <w:t>`risk-register-builder`</w:t>
            </w:r>
          </w:p>
        </w:tc>
        <w:tc>
          <w:tcPr>
            <w:tcW w:type="dxa" w:w="1701"/>
          </w:tcPr>
          <w:p>
            <w:r>
              <w:t>原因/影响/概率/应对/责任人 五要素完整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t>`closure-report-writer`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t>交付物清单核验、经验教训提取、档案完整性</w:t>
            </w:r>
          </w:p>
        </w:tc>
      </w:tr>
      <w:tr>
        <w:tc>
          <w:tcPr>
            <w:tcW w:type="dxa" w:w="1701"/>
          </w:tcPr>
          <w:p>
            <w:r>
              <w:t>`vendor-risk-assessment`</w:t>
            </w:r>
          </w:p>
        </w:tc>
        <w:tc>
          <w:tcPr>
            <w:tcW w:type="dxa" w:w="1701"/>
          </w:tcPr>
          <w:p>
            <w:r>
              <w:t>五维度（资质/绩效/技术/运营/合规）缺一不可</w:t>
            </w:r>
          </w:p>
        </w:tc>
      </w:tr>
    </w:tbl>
    <w:p>
      <w:pPr>
        <w:pStyle w:val="Heading2"/>
        <w:jc w:val="left"/>
      </w:pPr>
      <w:r>
        <w:t>七、注意事项</w:t>
      </w:r>
    </w:p>
    <w:p>
      <w:pPr>
        <w:spacing w:after="120"/>
      </w:pPr>
      <w:r>
        <w:t xml:space="preserve">1. </w:t>
      </w:r>
      <w:r>
        <w:rPr>
          <w:b/>
        </w:rPr>
        <w:t>编排链优先原则</w:t>
      </w:r>
      <w:r>
        <w:t>：复杂场景优先使用编排链（6个），确保多技能衔接顺畅，避免手工拼装。</w:t>
      </w:r>
    </w:p>
    <w:p>
      <w:pPr>
        <w:spacing w:after="120"/>
      </w:pPr>
      <w:r>
        <w:t xml:space="preserve">2. </w:t>
      </w:r>
      <w:r>
        <w:rPr>
          <w:b/>
        </w:rPr>
        <w:t>数据完整性</w:t>
      </w:r>
      <w:r>
        <w:t>：调用Skill前尽量提供完整的输入信息，输出质量与输入完整性正相关。</w:t>
      </w:r>
    </w:p>
    <w:p>
      <w:pPr>
        <w:spacing w:after="120"/>
      </w:pPr>
      <w:r>
        <w:t xml:space="preserve">3. </w:t>
      </w:r>
      <w:r>
        <w:rPr>
          <w:b/>
        </w:rPr>
        <w:t>跨Skill一致性</w:t>
      </w:r>
      <w:r>
        <w:t>：同一项目使用多个Skill时，保持项目名称、干系人术语、编号规则一致。</w:t>
      </w:r>
    </w:p>
    <w:p>
      <w:pPr>
        <w:spacing w:after="120"/>
      </w:pPr>
      <w:r>
        <w:t xml:space="preserve">4. </w:t>
      </w:r>
      <w:r>
        <w:rPr>
          <w:b/>
        </w:rPr>
        <w:t>废弃Skill不可用</w:t>
      </w:r>
      <w:r>
        <w:t>：</w:t>
      </w:r>
      <w:r>
        <w:rPr>
          <w:rFonts w:ascii="Consolas" w:hAnsi="Consolas"/>
          <w:sz w:val="20"/>
        </w:rPr>
        <w:t>scope-boundary-checker</w:t>
      </w:r>
      <w:r>
        <w:t>（PMC-001）和</w:t>
      </w:r>
      <w:r>
        <w:rPr>
          <w:rFonts w:ascii="Consolas" w:hAnsi="Consolas"/>
          <w:sz w:val="20"/>
        </w:rPr>
        <w:t>inclusions-exclusions-writer</w:t>
      </w:r>
      <w:r>
        <w:t>（PMC-007）已废弃，请改用</w:t>
      </w:r>
      <w:r>
        <w:rPr>
          <w:rFonts w:ascii="Consolas" w:hAnsi="Consolas"/>
          <w:sz w:val="20"/>
        </w:rPr>
        <w:t>scope-management</w:t>
      </w:r>
      <w:r>
        <w:t>。</w:t>
      </w:r>
    </w:p>
    <w:p>
      <w:pPr>
        <w:spacing w:after="120"/>
      </w:pPr>
      <w:r>
        <w:t xml:space="preserve">5. </w:t>
      </w:r>
      <w:r>
        <w:rPr>
          <w:b/>
        </w:rPr>
        <w:t>合规前置</w:t>
      </w:r>
      <w:r>
        <w:t>：涉及监管合规（银保监、人行等）的Skill输出，建议经业务部门确认后再作为正式文档使用。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