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
        <w:jc w:val="center"/>
      </w:pPr>
      <w:r>
        <w:rPr>
          <w:rFonts w:ascii="Arial" w:hAnsi="Arial"/>
          <w:b/>
          <w:i w:val="0"/>
          <w:color w:val="111111"/>
          <w:sz w:val="37"/>
          <w:u w:val="none"/>
        </w:rPr>
        <w:t>JOONWON LEE</w:t>
      </w:r>
    </w:p>
    <w:p>
      <w:pPr>
        <w:spacing w:after="30"/>
        <w:jc w:val="center"/>
      </w:pPr>
      <w:r>
        <w:rPr>
          <w:rFonts w:ascii="Arial" w:hAnsi="Arial"/>
          <w:b/>
          <w:i w:val="0"/>
          <w:color w:val="243B53"/>
          <w:sz w:val="19"/>
          <w:u w:val="none"/>
        </w:rPr>
        <w:t>QUANTITATIVE RESEARCH  |  STATISTICAL MACHINE LEARNING  |  MODEL RISK</w:t>
      </w:r>
    </w:p>
    <w:p>
      <w:pPr>
        <w:spacing w:after="60"/>
        <w:jc w:val="center"/>
      </w:pPr>
      <w:r>
        <w:rPr>
          <w:rFonts w:ascii="Arial" w:hAnsi="Arial"/>
          <w:b w:val="0"/>
          <w:i w:val="0"/>
          <w:color w:val="4A5568"/>
          <w:sz w:val="17"/>
          <w:u w:val="none"/>
        </w:rPr>
        <w:t xml:space="preserve">Piscataway, NJ 08854  |  612-438-9144  |  </w:t>
      </w:r>
      <w:hyperlink r:id="rId10">
        <w:r>
          <w:rPr>
            <w:rFonts w:ascii="Arial" w:hAnsi="Arial"/>
            <w:sz w:val="17"/>
            <w:color w:val="4A5568"/>
          </w:rPr>
          <w:t>joonwon.lee22@gmail.com</w:t>
        </w:r>
      </w:hyperlink>
      <w:r>
        <w:rPr>
          <w:rFonts w:ascii="Arial" w:hAnsi="Arial"/>
          <w:b w:val="0"/>
          <w:i w:val="0"/>
          <w:color w:val="4A5568"/>
          <w:sz w:val="17"/>
          <w:u w:val="none"/>
        </w:rPr>
        <w:t xml:space="preserve">  |  </w:t>
      </w:r>
      <w:hyperlink r:id="rId11">
        <w:r>
          <w:rPr>
            <w:rFonts w:ascii="Arial" w:hAnsi="Arial"/>
            <w:sz w:val="17"/>
            <w:color w:val="4A5568"/>
          </w:rPr>
          <w:t>github.com/cl20813</w:t>
        </w:r>
      </w:hyperlink>
    </w:p>
    <w:p>
      <w:pPr>
        <w:pStyle w:val="Heading1"/>
        <w:keepNext/>
        <w:spacing w:before="84" w:after="34"/>
        <w:pBdr>
          <w:bottom w:val="single" w:sz="5" w:space="1" w:color="7A8793"/>
        </w:pBdr>
      </w:pPr>
      <w:r>
        <w:rPr>
          <w:rFonts w:ascii="Arial" w:hAnsi="Arial"/>
          <w:b/>
          <w:i w:val="0"/>
          <w:color w:val="243B53"/>
          <w:sz w:val="21"/>
          <w:u w:val="none"/>
        </w:rPr>
        <w:t>RESEARCH PROFILE</w:t>
      </w:r>
    </w:p>
    <w:p>
      <w:pPr>
        <w:spacing w:before="0" w:after="24" w:line="247" w:lineRule="auto"/>
      </w:pPr>
      <w:r>
        <w:rPr>
          <w:rFonts w:ascii="Arial" w:hAnsi="Arial"/>
          <w:b w:val="0"/>
          <w:i w:val="0"/>
          <w:color w:val="111111"/>
          <w:sz w:val="18"/>
          <w:u w:val="none"/>
        </w:rPr>
        <w:t>Statistics Ph.D. candidate developing scalable Gaussian process inference and model diagnostics for high-dimensional dependent data. Research combines approximate likelihoods, spectral methods, stochastic-process theory, and GPU/HPC implementation; industry experience spans financial risk monitoring and commercial insurance pricing.</w:t>
      </w:r>
    </w:p>
    <w:p>
      <w:pPr>
        <w:pStyle w:val="Heading1"/>
        <w:keepNext/>
        <w:spacing w:before="84" w:after="34"/>
        <w:pBdr>
          <w:bottom w:val="single" w:sz="5" w:space="1" w:color="7A8793"/>
        </w:pBdr>
      </w:pPr>
      <w:r>
        <w:rPr>
          <w:rFonts w:ascii="Arial" w:hAnsi="Arial"/>
          <w:b/>
          <w:i w:val="0"/>
          <w:color w:val="243B53"/>
          <w:sz w:val="21"/>
          <w:u w:val="none"/>
        </w:rPr>
        <w:t>EDUCATION</w:t>
      </w:r>
    </w:p>
    <w:p>
      <w:pPr>
        <w:keepNext w:val="0"/>
        <w:tabs>
          <w:tab w:pos="10454" w:val="right"/>
        </w:tabs>
        <w:spacing w:before="0" w:after="8" w:line="240" w:lineRule="auto"/>
      </w:pPr>
      <w:r>
        <w:rPr>
          <w:rFonts w:ascii="Arial" w:hAnsi="Arial"/>
          <w:b/>
          <w:i w:val="0"/>
          <w:color w:val="111111"/>
          <w:sz w:val="18"/>
          <w:u w:val="none"/>
        </w:rPr>
        <w:t>Rutgers University, Piscataway, NJ - Ph.D. in Statistics</w:t>
      </w:r>
      <w:r>
        <w:rPr>
          <w:rFonts w:ascii="Arial" w:hAnsi="Arial"/>
          <w:b w:val="0"/>
          <w:i w:val="0"/>
          <w:color w:val="111111"/>
          <w:sz w:val="18"/>
          <w:u w:val="none"/>
        </w:rPr>
        <w:tab/>
        <w:t>Expected Dec 2026  |  GPA: 3.8/4.0</w:t>
      </w:r>
    </w:p>
    <w:p>
      <w:pPr>
        <w:keepNext w:val="0"/>
        <w:tabs>
          <w:tab w:pos="10454" w:val="right"/>
        </w:tabs>
        <w:spacing w:before="0" w:after="8" w:line="240" w:lineRule="auto"/>
      </w:pPr>
      <w:r>
        <w:rPr>
          <w:rFonts w:ascii="Arial" w:hAnsi="Arial"/>
          <w:b/>
          <w:i w:val="0"/>
          <w:color w:val="111111"/>
          <w:sz w:val="18"/>
          <w:u w:val="none"/>
        </w:rPr>
        <w:t>University of Minnesota, Minneapolis, MN - M.S. in Statistics</w:t>
      </w:r>
      <w:r>
        <w:rPr>
          <w:rFonts w:ascii="Arial" w:hAnsi="Arial"/>
          <w:b w:val="0"/>
          <w:i w:val="0"/>
          <w:color w:val="111111"/>
          <w:sz w:val="18"/>
          <w:u w:val="none"/>
        </w:rPr>
        <w:tab/>
        <w:t>Sep 2019 - Sep 2021  |  GPA: 3.7/4.0</w:t>
      </w:r>
    </w:p>
    <w:p>
      <w:pPr>
        <w:pStyle w:val="Heading1"/>
        <w:keepNext/>
        <w:spacing w:before="84" w:after="34"/>
        <w:pBdr>
          <w:bottom w:val="single" w:sz="5" w:space="1" w:color="7A8793"/>
        </w:pBdr>
      </w:pPr>
      <w:r>
        <w:rPr>
          <w:rFonts w:ascii="Arial" w:hAnsi="Arial"/>
          <w:b/>
          <w:i w:val="0"/>
          <w:color w:val="243B53"/>
          <w:sz w:val="21"/>
          <w:u w:val="none"/>
        </w:rPr>
        <w:t>RESEARCH EXPERIENCE</w:t>
      </w:r>
    </w:p>
    <w:p>
      <w:pPr>
        <w:keepNext/>
        <w:tabs>
          <w:tab w:pos="10454" w:val="right"/>
        </w:tabs>
        <w:spacing w:before="0" w:after="6" w:line="240" w:lineRule="auto"/>
      </w:pPr>
      <w:r>
        <w:rPr>
          <w:rFonts w:ascii="Arial" w:hAnsi="Arial"/>
          <w:b/>
          <w:i w:val="0"/>
          <w:color w:val="111111"/>
          <w:sz w:val="18"/>
          <w:u w:val="none"/>
        </w:rPr>
        <w:t>Ph.D. Dissertation Research - Scalable Gaussian Process Inference and Diagnostics</w:t>
      </w:r>
      <w:r>
        <w:rPr>
          <w:rFonts w:ascii="Arial" w:hAnsi="Arial"/>
          <w:b w:val="0"/>
          <w:i w:val="0"/>
          <w:color w:val="111111"/>
          <w:sz w:val="18"/>
          <w:u w:val="none"/>
        </w:rPr>
        <w:tab/>
        <w:t>Sep 2024 - Present</w:t>
      </w:r>
    </w:p>
    <w:p>
      <w:pPr>
        <w:spacing w:before="0" w:after="16" w:line="245" w:lineRule="auto"/>
      </w:pPr>
      <w:r>
        <w:rPr>
          <w:rFonts w:ascii="Arial" w:hAnsi="Arial"/>
          <w:b w:val="0"/>
          <w:i w:val="0"/>
          <w:color w:val="4A5568"/>
          <w:sz w:val="17"/>
          <w:u w:val="none"/>
        </w:rPr>
        <w:t>Application domain: geostationary satellite total-column ozone, with 18,126 spatial cells and eight daytime snapshots per day. The methods target large, noisy, partially observed stochastic fields where dense covariance methods are infeasible and transfer to alternative-data and model-risk settings.</w:t>
      </w:r>
    </w:p>
    <w:p>
      <w:pPr>
        <w:pStyle w:val="CompactBullet"/>
        <w:keepLines/>
        <w:numPr>
          <w:ilvl w:val="0"/>
          <w:numId w:val="10"/>
        </w:numPr>
        <w:spacing w:after="16" w:line="245" w:lineRule="auto"/>
      </w:pPr>
      <w:r>
        <w:rPr>
          <w:rFonts w:ascii="Arial" w:hAnsi="Arial"/>
          <w:b/>
          <w:i w:val="0"/>
          <w:color w:val="111111"/>
          <w:sz w:val="17"/>
          <w:u w:val="none"/>
        </w:rPr>
        <w:t>Scalable inference:</w:t>
      </w:r>
      <w:r>
        <w:rPr>
          <w:rFonts w:ascii="Arial" w:hAnsi="Arial"/>
          <w:b w:val="0"/>
          <w:i w:val="0"/>
          <w:color w:val="111111"/>
          <w:sz w:val="17"/>
          <w:u w:val="none"/>
        </w:rPr>
        <w:t xml:space="preserve"> Developed a nonseparable, advection-aware Vecchia approximation with 4x4 target blocks and a 6/4/3 temporal conditioning pattern. The fixed conditioning budget replaces dense O(n^3) covariance operations with approximately linear scaling in n, enabling daily fits over 145,008 rows (about 141,000 observed after quality filtering).</w:t>
      </w:r>
    </w:p>
    <w:p>
      <w:pPr>
        <w:pStyle w:val="CompactBullet"/>
        <w:keepLines/>
        <w:numPr>
          <w:ilvl w:val="0"/>
          <w:numId w:val="10"/>
        </w:numPr>
        <w:spacing w:after="16" w:line="245" w:lineRule="auto"/>
      </w:pPr>
      <w:r>
        <w:rPr>
          <w:rFonts w:ascii="Arial" w:hAnsi="Arial"/>
          <w:b/>
          <w:i w:val="0"/>
          <w:color w:val="111111"/>
          <w:sz w:val="17"/>
          <w:u w:val="none"/>
        </w:rPr>
        <w:t>Covariance model selection:</w:t>
      </w:r>
      <w:r>
        <w:rPr>
          <w:rFonts w:ascii="Arial" w:hAnsi="Arial"/>
          <w:b w:val="0"/>
          <w:i w:val="0"/>
          <w:color w:val="111111"/>
          <w:sz w:val="17"/>
          <w:u w:val="none"/>
        </w:rPr>
        <w:t xml:space="preserve"> Built max-min block-prefix experiments at 100, 200, 400, 600, 800, and all blocks to separate parameter instability caused by the Vecchia approximation from instability caused by covariance-family misspecification. Compared Matérn and generalized Cauchy models on July 2023-2025 data using likelihood paths and parameter convergence.</w:t>
      </w:r>
    </w:p>
    <w:p>
      <w:pPr>
        <w:pStyle w:val="CompactBullet"/>
        <w:keepLines/>
        <w:numPr>
          <w:ilvl w:val="0"/>
          <w:numId w:val="10"/>
        </w:numPr>
        <w:spacing w:after="16" w:line="245" w:lineRule="auto"/>
      </w:pPr>
      <w:r>
        <w:rPr>
          <w:rFonts w:ascii="Arial" w:hAnsi="Arial"/>
          <w:b/>
          <w:i w:val="0"/>
          <w:color w:val="111111"/>
          <w:sz w:val="17"/>
          <w:u w:val="none"/>
        </w:rPr>
        <w:t>Scale-resolved model diagnostics:</w:t>
      </w:r>
      <w:r>
        <w:rPr>
          <w:rFonts w:ascii="Arial" w:hAnsi="Arial"/>
          <w:b w:val="0"/>
          <w:i w:val="0"/>
          <w:color w:val="111111"/>
          <w:sz w:val="17"/>
          <w:u w:val="none"/>
        </w:rPr>
        <w:t xml:space="preserve"> Eigendecomposed small conditional covariance blocks, projected residuals into whitened eigen-coordinates, adjusted expected increments for fitted-mean leverage, and accumulated squared scores by conditional eigenvalue to identify the scales at which a fitted covariance model systematically under- or overstates residual variation.</w:t>
      </w:r>
    </w:p>
    <w:p>
      <w:pPr>
        <w:pStyle w:val="CompactBullet"/>
        <w:keepLines/>
        <w:numPr>
          <w:ilvl w:val="0"/>
          <w:numId w:val="10"/>
        </w:numPr>
        <w:spacing w:after="16" w:line="245" w:lineRule="auto"/>
      </w:pPr>
      <w:r>
        <w:rPr>
          <w:rFonts w:ascii="Arial" w:hAnsi="Arial"/>
          <w:b/>
          <w:i w:val="0"/>
          <w:color w:val="111111"/>
          <w:sz w:val="17"/>
          <w:u w:val="none"/>
        </w:rPr>
        <w:t>Missing-data spectral validation:</w:t>
      </w:r>
      <w:r>
        <w:rPr>
          <w:rFonts w:ascii="Arial" w:hAnsi="Arial"/>
          <w:b w:val="0"/>
          <w:i w:val="0"/>
          <w:color w:val="111111"/>
          <w:sz w:val="17"/>
          <w:u w:val="none"/>
        </w:rPr>
        <w:t xml:space="preserve"> Derived how zero-imputation, structured observation masks, and resampling operators alter the expected periodogram and the pseudo-true variance, range, and nugget parameters of Debiased Whittle estimation. Developed a corrected-periodogram route for reducing the resulting scale and noise-floor bias.</w:t>
      </w:r>
    </w:p>
    <w:p>
      <w:pPr>
        <w:pStyle w:val="CompactBullet"/>
        <w:keepLines/>
        <w:numPr>
          <w:ilvl w:val="0"/>
          <w:numId w:val="10"/>
        </w:numPr>
        <w:spacing w:after="16" w:line="245" w:lineRule="auto"/>
      </w:pPr>
      <w:r>
        <w:rPr>
          <w:rFonts w:ascii="Arial" w:hAnsi="Arial"/>
          <w:b/>
          <w:i w:val="0"/>
          <w:color w:val="111111"/>
          <w:sz w:val="17"/>
          <w:u w:val="none"/>
        </w:rPr>
        <w:t>Multivariate frequency diagnostics:</w:t>
      </w:r>
      <w:r>
        <w:rPr>
          <w:rFonts w:ascii="Arial" w:hAnsi="Arial"/>
          <w:b w:val="0"/>
          <w:i w:val="0"/>
          <w:color w:val="111111"/>
          <w:sz w:val="17"/>
          <w:u w:val="none"/>
        </w:rPr>
        <w:t xml:space="preserve"> Constructed an eight-variate Fourier vector for hourly fields, computed the mask-aware finite-sample expected 8x8 cross-periodogram, applied Cholesky whitening, and profiled residual power by norm, latitude, longitude, and diagonal frequency. Validated the expected cross-periodogram over 1,000 simulations with MAD 0.00648.</w:t>
      </w:r>
    </w:p>
    <w:p>
      <w:pPr>
        <w:pStyle w:val="CompactBullet"/>
        <w:keepLines/>
        <w:numPr>
          <w:ilvl w:val="0"/>
          <w:numId w:val="10"/>
        </w:numPr>
        <w:spacing w:after="16" w:line="245" w:lineRule="auto"/>
      </w:pPr>
      <w:r>
        <w:rPr>
          <w:rFonts w:ascii="Arial" w:hAnsi="Arial"/>
          <w:b/>
          <w:i w:val="0"/>
          <w:color w:val="111111"/>
          <w:sz w:val="17"/>
          <w:u w:val="none"/>
        </w:rPr>
        <w:t>Physical validation:</w:t>
      </w:r>
      <w:r>
        <w:rPr>
          <w:rFonts w:ascii="Arial" w:hAnsi="Arial"/>
          <w:b w:val="0"/>
          <w:i w:val="0"/>
          <w:color w:val="111111"/>
          <w:sz w:val="17"/>
          <w:u w:val="none"/>
        </w:rPr>
        <w:t xml:space="preserve"> Used asymmetric one-hour cross-variograms and two-dimensional empirical ridge locations to test whether fitted advection vectors align with observed movement. Added near-minimum counts and relative-gap measures so flat or multimodal ridges are flagged as ambiguous rather than over-interpreted.</w:t>
      </w:r>
    </w:p>
    <w:p>
      <w:pPr>
        <w:pStyle w:val="CompactBullet"/>
        <w:keepLines/>
        <w:numPr>
          <w:ilvl w:val="0"/>
          <w:numId w:val="10"/>
        </w:numPr>
        <w:spacing w:after="16" w:line="245" w:lineRule="auto"/>
      </w:pPr>
      <w:r>
        <w:rPr>
          <w:rFonts w:ascii="Arial" w:hAnsi="Arial"/>
          <w:b/>
          <w:i w:val="0"/>
          <w:color w:val="111111"/>
          <w:sz w:val="17"/>
          <w:u w:val="none"/>
        </w:rPr>
        <w:t>Research engineering:</w:t>
      </w:r>
      <w:r>
        <w:rPr>
          <w:rFonts w:ascii="Arial" w:hAnsi="Arial"/>
          <w:b w:val="0"/>
          <w:i w:val="0"/>
          <w:color w:val="111111"/>
          <w:sz w:val="17"/>
          <w:u w:val="none"/>
        </w:rPr>
        <w:t xml:space="preserve"> Implemented reusable PyTorch likelihood engines, GLS mean profiling, L-BFGS optimization, CPU/GPU fallbacks, chunked conditional diagnostics, simulation generators with circulant embedding, and restartable HPC pipelines with cached fit artifacts.</w:t>
      </w:r>
    </w:p>
    <w:p>
      <w:pPr>
        <w:spacing w:before="0" w:after="0"/>
      </w:pPr>
      <w:r>
        <w:br w:type="page"/>
      </w:r>
    </w:p>
    <w:p>
      <w:pPr>
        <w:pStyle w:val="Heading1"/>
        <w:keepNext/>
        <w:spacing w:before="84" w:after="34"/>
        <w:pBdr>
          <w:bottom w:val="single" w:sz="5" w:space="1" w:color="7A8793"/>
        </w:pBdr>
      </w:pPr>
      <w:r>
        <w:rPr>
          <w:rFonts w:ascii="Arial" w:hAnsi="Arial"/>
          <w:b/>
          <w:i w:val="0"/>
          <w:color w:val="243B53"/>
          <w:sz w:val="21"/>
          <w:u w:val="none"/>
        </w:rPr>
        <w:t>SELECTED RESEARCH WORKSTREAMS AND SOFTWARE</w:t>
      </w:r>
    </w:p>
    <w:p>
      <w:pPr>
        <w:spacing w:before="0" w:after="20" w:line="247" w:lineRule="auto"/>
      </w:pPr>
      <w:r>
        <w:rPr>
          <w:rFonts w:ascii="Arial" w:hAnsi="Arial"/>
          <w:b/>
          <w:i w:val="0"/>
          <w:color w:val="111111"/>
          <w:sz w:val="17"/>
          <w:u w:val="none"/>
        </w:rPr>
        <w:t xml:space="preserve">Missing-Data Spectral Diagnostics. </w:t>
      </w:r>
      <w:r>
        <w:rPr>
          <w:rFonts w:ascii="Arial" w:hAnsi="Arial"/>
          <w:b w:val="0"/>
          <w:i w:val="0"/>
          <w:color w:val="111111"/>
          <w:sz w:val="17"/>
          <w:u w:val="none"/>
        </w:rPr>
        <w:t>Derived random-mask, deterministic-mask, and resampling-operator effects on the expected periodogram; characterized pseudo-true covariance parameters and developed a two-step bias-correction strategy.</w:t>
      </w:r>
    </w:p>
    <w:p>
      <w:pPr>
        <w:spacing w:before="0" w:after="20" w:line="247" w:lineRule="auto"/>
      </w:pPr>
      <w:r>
        <w:rPr>
          <w:rFonts w:ascii="Arial" w:hAnsi="Arial"/>
          <w:b/>
          <w:i w:val="0"/>
          <w:color w:val="111111"/>
          <w:sz w:val="17"/>
          <w:u w:val="none"/>
        </w:rPr>
        <w:t xml:space="preserve">Cross-Frequency Periodogram Covariance. </w:t>
      </w:r>
      <w:r>
        <w:rPr>
          <w:rFonts w:ascii="Arial" w:hAnsi="Arial"/>
          <w:b w:val="0"/>
          <w:i w:val="0"/>
          <w:color w:val="111111"/>
          <w:sz w:val="17"/>
          <w:u w:val="none"/>
        </w:rPr>
        <w:t>Derived exact Gaussian cross-frequency covariance under tapers and time-varying observation masks, with smooth, full-convolution, and structured-shrinkage estimators for finite-sample uncertainty.</w:t>
      </w:r>
    </w:p>
    <w:p>
      <w:pPr>
        <w:spacing w:before="0" w:after="20" w:line="247" w:lineRule="auto"/>
      </w:pPr>
      <w:r>
        <w:rPr>
          <w:rFonts w:ascii="Arial" w:hAnsi="Arial"/>
          <w:b/>
          <w:i w:val="0"/>
          <w:color w:val="111111"/>
          <w:sz w:val="17"/>
          <w:u w:val="none"/>
        </w:rPr>
        <w:t xml:space="preserve">Vecchia Conditional-Eigen Diagnostic Suite. </w:t>
      </w:r>
      <w:r>
        <w:rPr>
          <w:rFonts w:ascii="Arial" w:hAnsi="Arial"/>
          <w:b w:val="0"/>
          <w:i w:val="0"/>
          <w:color w:val="111111"/>
          <w:sz w:val="17"/>
          <w:u w:val="none"/>
        </w:rPr>
        <w:t>Reusable PyTorch research software for blockwise whitening, leverage-adjusted score accumulation, scale-ordered residual diagnostics, parameter-mismatch experiments, and full-eigen sanity checks.</w:t>
      </w:r>
    </w:p>
    <w:p>
      <w:pPr>
        <w:spacing w:before="0" w:after="22" w:line="247" w:lineRule="auto"/>
      </w:pPr>
      <w:r>
        <w:rPr>
          <w:rFonts w:ascii="Arial" w:hAnsi="Arial"/>
          <w:b/>
          <w:i w:val="0"/>
          <w:color w:val="111111"/>
          <w:sz w:val="17"/>
          <w:u w:val="none"/>
        </w:rPr>
        <w:t xml:space="preserve">Advection-Ridge and Cross-Variogram Diagnostics. </w:t>
      </w:r>
      <w:r>
        <w:rPr>
          <w:rFonts w:ascii="Arial" w:hAnsi="Arial"/>
          <w:b w:val="0"/>
          <w:i w:val="0"/>
          <w:color w:val="111111"/>
          <w:sz w:val="17"/>
          <w:u w:val="none"/>
        </w:rPr>
        <w:t>Three-model comparison framework for July 2022-2025 that aligns empirical cross-variogram minima with fitted transport vectors and reports ridge ambiguity before interpreting direction or speed.</w:t>
      </w:r>
    </w:p>
    <w:p>
      <w:pPr>
        <w:pStyle w:val="Heading1"/>
        <w:keepNext/>
        <w:spacing w:before="84" w:after="34"/>
        <w:pBdr>
          <w:bottom w:val="single" w:sz="5" w:space="1" w:color="7A8793"/>
        </w:pBdr>
      </w:pPr>
      <w:r>
        <w:rPr>
          <w:rFonts w:ascii="Arial" w:hAnsi="Arial"/>
          <w:b/>
          <w:i w:val="0"/>
          <w:color w:val="243B53"/>
          <w:sz w:val="21"/>
          <w:u w:val="none"/>
        </w:rPr>
        <w:t>INDUSTRY EXPERIENCE</w:t>
      </w:r>
    </w:p>
    <w:p>
      <w:pPr>
        <w:keepNext/>
        <w:tabs>
          <w:tab w:pos="10454" w:val="right"/>
        </w:tabs>
        <w:spacing w:before="0" w:after="6" w:line="240" w:lineRule="auto"/>
      </w:pPr>
      <w:r>
        <w:rPr>
          <w:rFonts w:ascii="Arial" w:hAnsi="Arial"/>
          <w:b/>
          <w:i w:val="0"/>
          <w:color w:val="111111"/>
          <w:sz w:val="18"/>
          <w:u w:val="none"/>
        </w:rPr>
        <w:t>JPMorgan Chase - Summer Quantitative Analytics Associate, Quantitative Finance / Risk Modeling</w:t>
      </w:r>
      <w:r>
        <w:rPr>
          <w:rFonts w:ascii="Arial" w:hAnsi="Arial"/>
          <w:b w:val="0"/>
          <w:i w:val="0"/>
          <w:color w:val="111111"/>
          <w:sz w:val="18"/>
          <w:u w:val="none"/>
        </w:rPr>
        <w:tab/>
        <w:t>Summer 2026</w:t>
      </w:r>
    </w:p>
    <w:p>
      <w:pPr>
        <w:pStyle w:val="CompactBullet"/>
        <w:keepLines/>
        <w:numPr>
          <w:ilvl w:val="0"/>
          <w:numId w:val="10"/>
        </w:numPr>
        <w:spacing w:after="12" w:line="245" w:lineRule="auto"/>
      </w:pPr>
      <w:r>
        <w:rPr>
          <w:rFonts w:ascii="Arial" w:hAnsi="Arial"/>
          <w:b w:val="0"/>
          <w:i w:val="0"/>
          <w:color w:val="111111"/>
          <w:sz w:val="17"/>
          <w:u w:val="none"/>
        </w:rPr>
        <w:t>Designed a sequential anomaly-detection framework for binary risk indicators by modeling cumulative evidence as a random walk and using Brownian-motion approximations to quantify stopping-time uncertainty.</w:t>
      </w:r>
    </w:p>
    <w:p>
      <w:pPr>
        <w:pStyle w:val="CompactBullet"/>
        <w:keepLines/>
        <w:numPr>
          <w:ilvl w:val="0"/>
          <w:numId w:val="10"/>
        </w:numPr>
        <w:spacing w:after="14" w:line="245" w:lineRule="auto"/>
      </w:pPr>
      <w:r>
        <w:rPr>
          <w:rFonts w:ascii="Arial" w:hAnsi="Arial"/>
          <w:b w:val="0"/>
          <w:i w:val="0"/>
          <w:color w:val="111111"/>
          <w:sz w:val="17"/>
          <w:u w:val="none"/>
        </w:rPr>
        <w:t>Structured simulation-based comparisons of fixed-sample and sequential rules around detection delay, false-positive/false-negative control, and the value of earlier decisions.</w:t>
      </w:r>
    </w:p>
    <w:p>
      <w:pPr>
        <w:keepNext/>
        <w:tabs>
          <w:tab w:pos="10454" w:val="right"/>
        </w:tabs>
        <w:spacing w:before="0" w:after="6" w:line="240" w:lineRule="auto"/>
      </w:pPr>
      <w:r>
        <w:rPr>
          <w:rFonts w:ascii="Arial" w:hAnsi="Arial"/>
          <w:b/>
          <w:i w:val="0"/>
          <w:color w:val="111111"/>
          <w:sz w:val="18"/>
          <w:u w:val="none"/>
        </w:rPr>
        <w:t>Travelers - Data Science Leadership Program, Business Insurance Pricing Team</w:t>
      </w:r>
      <w:r>
        <w:rPr>
          <w:rFonts w:ascii="Arial" w:hAnsi="Arial"/>
          <w:b w:val="0"/>
          <w:i w:val="0"/>
          <w:color w:val="111111"/>
          <w:sz w:val="18"/>
          <w:u w:val="none"/>
        </w:rPr>
        <w:tab/>
        <w:t>Summer 2025</w:t>
      </w:r>
    </w:p>
    <w:p>
      <w:pPr>
        <w:pStyle w:val="CompactBullet"/>
        <w:keepLines/>
        <w:numPr>
          <w:ilvl w:val="0"/>
          <w:numId w:val="10"/>
        </w:numPr>
        <w:spacing w:after="12" w:line="245" w:lineRule="auto"/>
      </w:pPr>
      <w:r>
        <w:rPr>
          <w:rFonts w:ascii="Arial" w:hAnsi="Arial"/>
          <w:b w:val="0"/>
          <w:i w:val="0"/>
          <w:color w:val="111111"/>
          <w:sz w:val="17"/>
          <w:u w:val="none"/>
        </w:rPr>
        <w:t>Developed an end-to-end LightGBM pricing pipeline for mid-market property risk, including feature processing, GLM benchmarking, validation, and performance diagnostics over 2.46M+ records on AWS EC2.</w:t>
      </w:r>
    </w:p>
    <w:p>
      <w:pPr>
        <w:pStyle w:val="CompactBullet"/>
        <w:keepLines/>
        <w:numPr>
          <w:ilvl w:val="0"/>
          <w:numId w:val="10"/>
        </w:numPr>
        <w:spacing w:after="14" w:line="245" w:lineRule="auto"/>
      </w:pPr>
      <w:r>
        <w:rPr>
          <w:rFonts w:ascii="Arial" w:hAnsi="Arial"/>
          <w:b w:val="0"/>
          <w:i w:val="0"/>
          <w:color w:val="111111"/>
          <w:sz w:val="17"/>
          <w:u w:val="none"/>
        </w:rPr>
        <w:t>Used model diagnostics and feature attribution to translate predictive patterns into pricing and risk-segmentation recommendations for business stakeholders.</w:t>
      </w:r>
    </w:p>
    <w:p>
      <w:pPr>
        <w:pStyle w:val="Heading1"/>
        <w:keepNext/>
        <w:spacing w:before="84" w:after="34"/>
        <w:pBdr>
          <w:bottom w:val="single" w:sz="5" w:space="1" w:color="7A8793"/>
        </w:pBdr>
      </w:pPr>
      <w:r>
        <w:rPr>
          <w:rFonts w:ascii="Arial" w:hAnsi="Arial"/>
          <w:b/>
          <w:i w:val="0"/>
          <w:color w:val="243B53"/>
          <w:sz w:val="21"/>
          <w:u w:val="none"/>
        </w:rPr>
        <w:t>SELECTED QUANTITATIVE PROJECT</w:t>
      </w:r>
    </w:p>
    <w:p>
      <w:pPr>
        <w:keepNext/>
        <w:tabs>
          <w:tab w:pos="10454" w:val="right"/>
        </w:tabs>
        <w:spacing w:before="0" w:after="6" w:line="240" w:lineRule="auto"/>
      </w:pPr>
      <w:r>
        <w:rPr>
          <w:rFonts w:ascii="Arial" w:hAnsi="Arial"/>
          <w:b/>
          <w:i w:val="0"/>
          <w:color w:val="111111"/>
          <w:sz w:val="18"/>
          <w:u w:val="none"/>
        </w:rPr>
        <w:t>IMC Prosperity Algorithmic Trading Competition - Top 2.39% of Participants</w:t>
      </w:r>
      <w:r>
        <w:rPr>
          <w:rFonts w:ascii="Arial" w:hAnsi="Arial"/>
          <w:b w:val="0"/>
          <w:i w:val="0"/>
          <w:color w:val="111111"/>
          <w:sz w:val="18"/>
          <w:u w:val="none"/>
        </w:rPr>
        <w:tab/>
        <w:t>Apr 2025</w:t>
      </w:r>
    </w:p>
    <w:p>
      <w:pPr>
        <w:pStyle w:val="CompactBullet"/>
        <w:keepLines/>
        <w:numPr>
          <w:ilvl w:val="0"/>
          <w:numId w:val="10"/>
        </w:numPr>
        <w:spacing w:after="14" w:line="245" w:lineRule="auto"/>
      </w:pPr>
      <w:r>
        <w:rPr>
          <w:rFonts w:ascii="Arial" w:hAnsi="Arial"/>
          <w:b w:val="0"/>
          <w:i w:val="0"/>
          <w:color w:val="111111"/>
          <w:sz w:val="17"/>
          <w:u w:val="none"/>
        </w:rPr>
        <w:t>Built and evaluated a market-making strategy with inventory-aware quoting, dynamic liquidation rules, and benchmark-driven performance analysis.</w:t>
      </w:r>
    </w:p>
    <w:p>
      <w:pPr>
        <w:pStyle w:val="Heading1"/>
        <w:keepNext/>
        <w:spacing w:before="84" w:after="34"/>
        <w:pBdr>
          <w:bottom w:val="single" w:sz="5" w:space="1" w:color="7A8793"/>
        </w:pBdr>
      </w:pPr>
      <w:r>
        <w:rPr>
          <w:rFonts w:ascii="Arial" w:hAnsi="Arial"/>
          <w:b/>
          <w:i w:val="0"/>
          <w:color w:val="243B53"/>
          <w:sz w:val="21"/>
          <w:u w:val="none"/>
        </w:rPr>
        <w:t>TECHNICAL SKILLS</w:t>
      </w:r>
    </w:p>
    <w:p>
      <w:pPr>
        <w:spacing w:before="0" w:after="10" w:line="245" w:lineRule="auto"/>
      </w:pPr>
      <w:r>
        <w:rPr>
          <w:rFonts w:ascii="Arial" w:hAnsi="Arial"/>
          <w:b/>
          <w:i w:val="0"/>
          <w:color w:val="111111"/>
          <w:sz w:val="17"/>
          <w:u w:val="none"/>
        </w:rPr>
        <w:t xml:space="preserve">Programming and Systems: </w:t>
      </w:r>
      <w:r>
        <w:rPr>
          <w:rFonts w:ascii="Arial" w:hAnsi="Arial"/>
          <w:b w:val="0"/>
          <w:i w:val="0"/>
          <w:color w:val="111111"/>
          <w:sz w:val="17"/>
          <w:u w:val="none"/>
        </w:rPr>
        <w:t>Python, NumPy, Pandas, PyTorch, SciPy, LightGBM, scikit-learn, R, SQL/MySQL, Linux, Git, AWS EC2, HPC/SLURM</w:t>
      </w:r>
    </w:p>
    <w:p>
      <w:pPr>
        <w:spacing w:before="0" w:after="10" w:line="245" w:lineRule="auto"/>
      </w:pPr>
      <w:r>
        <w:rPr>
          <w:rFonts w:ascii="Arial" w:hAnsi="Arial"/>
          <w:b/>
          <w:i w:val="0"/>
          <w:color w:val="111111"/>
          <w:sz w:val="17"/>
          <w:u w:val="none"/>
        </w:rPr>
        <w:t xml:space="preserve">Statistical Computing: </w:t>
      </w:r>
      <w:r>
        <w:rPr>
          <w:rFonts w:ascii="Arial" w:hAnsi="Arial"/>
          <w:b w:val="0"/>
          <w:i w:val="0"/>
          <w:color w:val="111111"/>
          <w:sz w:val="17"/>
          <w:u w:val="none"/>
        </w:rPr>
        <w:t>MLE, Gaussian processes, Vecchia approximations, Matérn and generalized Cauchy covariance, spectral/Whittle methods, FFT and circulant embedding, GLS, L-BFGS, Monte Carlo simulation</w:t>
      </w:r>
    </w:p>
    <w:p>
      <w:pPr>
        <w:spacing w:before="0" w:after="10" w:line="245" w:lineRule="auto"/>
      </w:pPr>
      <w:r>
        <w:rPr>
          <w:rFonts w:ascii="Arial" w:hAnsi="Arial"/>
          <w:b/>
          <w:i w:val="0"/>
          <w:color w:val="111111"/>
          <w:sz w:val="17"/>
          <w:u w:val="none"/>
        </w:rPr>
        <w:t xml:space="preserve">Modeling and Validation: </w:t>
      </w:r>
      <w:r>
        <w:rPr>
          <w:rFonts w:ascii="Arial" w:hAnsi="Arial"/>
          <w:b w:val="0"/>
          <w:i w:val="0"/>
          <w:color w:val="111111"/>
          <w:sz w:val="17"/>
          <w:u w:val="none"/>
        </w:rPr>
        <w:t>Stochastic processes, sequential testing, Brownian approximations, eigen diagnostics, cross-validation, GLM/GBM, model monitoring, missing-data diagnostics, directional semivariograms</w:t>
      </w:r>
    </w:p>
    <w:p>
      <w:pPr>
        <w:pStyle w:val="Heading1"/>
        <w:keepNext/>
        <w:spacing w:before="84" w:after="34"/>
        <w:pBdr>
          <w:bottom w:val="single" w:sz="5" w:space="1" w:color="7A8793"/>
        </w:pBdr>
      </w:pPr>
      <w:r>
        <w:rPr>
          <w:rFonts w:ascii="Arial" w:hAnsi="Arial"/>
          <w:b/>
          <w:i w:val="0"/>
          <w:color w:val="243B53"/>
          <w:sz w:val="21"/>
          <w:u w:val="none"/>
        </w:rPr>
        <w:t>COURSEWORK AND LANGUAGES</w:t>
      </w:r>
    </w:p>
    <w:p>
      <w:pPr>
        <w:spacing w:before="0" w:after="8" w:line="245" w:lineRule="auto"/>
      </w:pPr>
      <w:r>
        <w:rPr>
          <w:rFonts w:ascii="Arial" w:hAnsi="Arial"/>
          <w:b/>
          <w:i w:val="0"/>
          <w:color w:val="111111"/>
          <w:sz w:val="17"/>
          <w:u w:val="none"/>
        </w:rPr>
        <w:t xml:space="preserve">Coursework: </w:t>
      </w:r>
      <w:r>
        <w:rPr>
          <w:rFonts w:ascii="Arial" w:hAnsi="Arial"/>
          <w:b w:val="0"/>
          <w:i w:val="0"/>
          <w:color w:val="111111"/>
          <w:sz w:val="17"/>
          <w:u w:val="none"/>
        </w:rPr>
        <w:t>Machine Learning, Linear Algebra, Probability Theory, Stochastic Processes, Statistical Computing, Advanced Theory of Statistics I-II, Data Structures and Algorithms, Microeconomics, Econometrics</w:t>
      </w:r>
    </w:p>
    <w:p>
      <w:pPr>
        <w:spacing w:before="0" w:after="0" w:line="245" w:lineRule="auto"/>
      </w:pPr>
      <w:r>
        <w:rPr>
          <w:rFonts w:ascii="Arial" w:hAnsi="Arial"/>
          <w:b/>
          <w:i w:val="0"/>
          <w:color w:val="111111"/>
          <w:sz w:val="17"/>
          <w:u w:val="none"/>
        </w:rPr>
        <w:t xml:space="preserve">Languages: </w:t>
      </w:r>
      <w:r>
        <w:rPr>
          <w:rFonts w:ascii="Arial" w:hAnsi="Arial"/>
          <w:b w:val="0"/>
          <w:i w:val="0"/>
          <w:color w:val="111111"/>
          <w:sz w:val="17"/>
          <w:u w:val="none"/>
        </w:rPr>
        <w:t>Korean (Native); English (Fluent); Chinese (Basic)</w:t>
      </w:r>
    </w:p>
    <w:sectPr w:rsidR="00FC693F" w:rsidRPr="0006063C" w:rsidSect="00034616">
      <w:footerReference w:type="default" r:id="rId9"/>
      <w:pgSz w:w="12240" w:h="15840"/>
      <w:pgMar w:top="691" w:right="893" w:bottom="749" w:left="89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b w:val="0"/>
        <w:i w:val="0"/>
        <w:color w:val="4A5568"/>
        <w:sz w:val="14"/>
        <w:u w:val="none"/>
      </w:rPr>
      <w:t xml:space="preserve">Joonwon Lee - Quantitative Research CV  |  Page </w:t>
    </w:r>
    <w:fldSimple w:instr="PAGE">
      <w:r>
        <w:rPr>
          <w:rFonts w:ascii="Arial" w:hAnsi="Arial"/>
          <w:sz w:val="14"/>
          <w:color w:val="4A5568"/>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pPr>
        <w:tabs>
          <w:tab w:val="num" w:pos="330"/>
        </w:tabs>
        <w:ind w:left="330" w:hanging="185"/>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5" w:lineRule="auto"/>
    </w:pPr>
    <w:rPr>
      <w:rFonts w:ascii="Arial" w:hAnsi="Arial"/>
      <w:b w:val="0"/>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line="240" w:lineRule="auto"/>
      <w:outlineLvl w:val="0"/>
    </w:pPr>
    <w:rPr>
      <w:rFonts w:asciiTheme="majorHAnsi" w:eastAsiaTheme="majorEastAsia" w:hAnsiTheme="majorHAnsi" w:cstheme="majorBidi" w:ascii="Arial" w:hAnsi="Arial"/>
      <w:b/>
      <w:bCs/>
      <w:color w:val="243B53"/>
      <w:sz w:val="22"/>
      <w:szCs w:val="28"/>
    </w:rPr>
  </w:style>
  <w:style w:type="paragraph" w:styleId="Heading2">
    <w:name w:val="heading 2"/>
    <w:basedOn w:val="Normal"/>
    <w:next w:val="Normal"/>
    <w:link w:val="Heading2Char"/>
    <w:uiPriority w:val="9"/>
    <w:unhideWhenUsed/>
    <w:qFormat/>
    <w:rsid w:val="00FC693F"/>
    <w:pPr>
      <w:keepNext/>
      <w:keepLines/>
      <w:spacing w:before="40" w:after="20" w:line="240" w:lineRule="auto"/>
      <w:outlineLvl w:val="1"/>
    </w:pPr>
    <w:rPr>
      <w:rFonts w:asciiTheme="majorHAnsi" w:eastAsiaTheme="majorEastAsia" w:hAnsiTheme="majorHAnsi" w:cstheme="majorBidi" w:ascii="Arial" w:hAnsi="Arial"/>
      <w:b/>
      <w:bCs/>
      <w:color w:val="111111"/>
      <w:sz w:val="19"/>
      <w:szCs w:val="26"/>
    </w:rPr>
  </w:style>
  <w:style w:type="paragraph" w:styleId="Heading3">
    <w:name w:val="heading 3"/>
    <w:basedOn w:val="Normal"/>
    <w:next w:val="Normal"/>
    <w:link w:val="Heading3Char"/>
    <w:uiPriority w:val="9"/>
    <w:unhideWhenUsed/>
    <w:qFormat/>
    <w:rsid w:val="00FC693F"/>
    <w:pPr>
      <w:keepNext/>
      <w:keepLines/>
      <w:spacing w:before="20" w:after="0" w:line="240" w:lineRule="auto"/>
      <w:outlineLvl w:val="2"/>
    </w:pPr>
    <w:rPr>
      <w:rFonts w:asciiTheme="majorHAnsi" w:eastAsiaTheme="majorEastAsia" w:hAnsiTheme="majorHAnsi" w:cstheme="majorBidi" w:ascii="Arial" w:hAnsi="Arial"/>
      <w:b/>
      <w:bCs/>
      <w:color w:val="4A5568"/>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before="0"/>
      <w:contextualSpacing/>
    </w:pPr>
    <w:rPr>
      <w:rFonts w:asciiTheme="majorHAnsi" w:eastAsiaTheme="majorEastAsia" w:hAnsiTheme="majorHAnsi" w:cstheme="majorBidi" w:ascii="Arial" w:hAnsi="Arial"/>
      <w:b/>
      <w:color w:val="11111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0" w:line="240" w:lineRule="auto"/>
    </w:pPr>
    <w:rPr>
      <w:rFonts w:asciiTheme="majorHAnsi" w:eastAsiaTheme="majorEastAsia" w:hAnsiTheme="majorHAnsi" w:cstheme="majorBidi" w:ascii="Arial" w:hAnsi="Arial"/>
      <w:b w:val="0"/>
      <w:i/>
      <w:iCs/>
      <w:color w:val="4A5568"/>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pPr>
      <w:keepLines/>
      <w:spacing w:before="0" w:after="10" w:line="245" w:lineRule="auto"/>
      <w:ind w:left="317" w:hanging="173"/>
    </w:pPr>
    <w:rPr>
      <w:rFonts w:ascii="Arial" w:hAnsi="Arial"/>
      <w:b w:val="0"/>
      <w:color w:val="111111"/>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onwon.lee22@gmail.com" TargetMode="External"/><Relationship Id="rId11" Type="http://schemas.openxmlformats.org/officeDocument/2006/relationships/hyperlink" Target="https://github.com/cl208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Joonwon Lee - Quantitative Research CV</dc:title>
  <dc:subject>Detailed quantitative research CV for research-intensive industry roles</dc:subject>
  <dc:creator>Joonwon Lee</dc:creator>
  <cp:keywords>quantitative research, statistical machine learning, Gaussian processes, model risk, spectral methods</cp:keywords>
  <dc:description/>
  <cp:lastModifiedBy/>
  <cp:revision>1</cp:revision>
  <dcterms:created xsi:type="dcterms:W3CDTF">2013-12-23T23:15:00Z</dcterms:created>
  <dcterms:modified xsi:type="dcterms:W3CDTF">2013-12-23T23:15:00Z</dcterms:modified>
  <cp:category/>
</cp:coreProperties>
</file>