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Computational statistics Ph.D. candidate with experience developing scalable statistical and machine learning workflows for large, complex datasets. Builds reproducible Python/PyTorch and LightGBM pipelines for predictive modeling, simulation, optimization, and model validation; combines rigorous statistical evaluation with clear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70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Expected May 2027  |  GPA: 3.8/4.0</w:t>
      </w:r>
    </w:p>
    <w:p>
      <w:pPr>
        <w:keepNext w:val="0"/>
        <w:tabs>
          <w:tab w:pos="10570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Linux, Git, AWS EC2, HPC/SLURM, CPU/GPU computing; SQL/MySQL (working familiarity)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Machine Learning and Statistics: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Predictive modeling, GLM/GBM, feature attribution, causal inference, fixed-effects regression, time-series and spatio-temporal modeling, hypothesis testing, Monte Carlo simulation, numerical optimization, model selection and validation, uncertainty quantification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70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question into explicit hypotheses, likelihood-ratio boundaries, and statistically controlled decisions.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simulation and dynamic-programming evaluations of Type I/II error, detection delay, stopping-time uncertainty, and early-decision tradeoffs; documented model behavior and limitations.</w:t>
      </w:r>
    </w:p>
    <w:p>
      <w:pPr>
        <w:keepNext/>
        <w:tabs>
          <w:tab w:pos="10570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property-risk records, including data preparation, feature processing, GLM benchmarking, predictive-performance evaluation, and model validation on AWS EC2.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Analyzed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SELECTED RESEARCH</w:t>
      </w:r>
    </w:p>
    <w:p>
      <w:pPr>
        <w:keepNext/>
        <w:tabs>
          <w:tab w:pos="10570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Statistical Computing and Model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7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 xml:space="preserve"> Developed an advection-aware Vecchia likelihood approximation for nonseparable space-time Gaussian processes, using ordered local conditioning for parameter estimation and uncertainty quantification with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7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>Data and Model Diagnostics: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 xml:space="preserve"> Built quality-filtering, missingness, time-dependent alignment, and irregular-grid matching workflows; developed scale- and frequency-resolved diagnostics to localize model misspecification and acquisition artifacts.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 xml:space="preserve"> Implemented reusable Python/PyTorch workflows with L-BFGS optimization, CPU/GPU and restartable HPC execution, and performance-critical C++ routines exposed through pybind11.</w:t>
      </w:r>
    </w:p>
    <w:p>
      <w:pPr>
        <w:keepNext/>
        <w:tabs>
          <w:tab w:pos="10570" w:val="right"/>
        </w:tabs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Longitudinal Observational Study - EITC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2021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7"/>
          <w:u w:val="none"/>
        </w:rPr>
        <w:t>Estimated the effect of the Earned Income Tax Credit on household labor supply using fixed-effects regression and propensity-score matching with observed household demographic and economic covariates.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4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Data Structures and Algorithms, Probability Theory, Statistical Computing, Stochastic Processes, Advanced Theory of Statistics I-II, Linear Algebra,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662" w:right="835" w:bottom="662" w:left="835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15"/>
        </w:tabs>
        <w:ind w:left="315" w:hanging="175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Adobe 2027 Machine Learning Engineer Resume</dc:title>
  <dc:subject>Application for 2027 University Graduate Machine Learning Engineer at Adobe</dc:subject>
  <dc:creator>Joonwon Lee</dc:creator>
  <cp:keywords>computational statistics, machine learning, predictive modeling, causal inference, large-scale data, Python, PyTorch, LightGBM, model validation, statistical computing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