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"/>
        <w:jc w:val="center"/>
      </w:pPr>
      <w:r>
        <w:rPr>
          <w:rFonts w:ascii="Arial" w:hAnsi="Arial"/>
          <w:b/>
          <w:i w:val="0"/>
          <w:color w:val="111111"/>
          <w:sz w:val="35"/>
          <w:u w:val="none"/>
        </w:rPr>
        <w:t>JOONWON LEE</w:t>
      </w:r>
    </w:p>
    <w:p>
      <w:pPr>
        <w:spacing w:after="40"/>
        <w:jc w:val="center"/>
      </w:pPr>
      <w:r>
        <w:rPr>
          <w:rFonts w:ascii="Arial" w:hAnsi="Arial"/>
          <w:b w:val="0"/>
          <w:i w:val="0"/>
          <w:color w:val="4A5568"/>
          <w:sz w:val="18"/>
          <w:u w:val="none"/>
        </w:rPr>
        <w:t xml:space="preserve">Piscataway, NJ 08854  |  612-438-9144  |  </w:t>
      </w:r>
      <w:hyperlink r:id="rId9">
        <w:r>
          <w:rPr>
            <w:rFonts w:ascii="Arial" w:hAnsi="Arial"/>
            <w:sz w:val="18"/>
            <w:color w:val="4A5568"/>
          </w:rPr>
          <w:t>joonwon.lee22@gmail.com</w:t>
        </w:r>
      </w:hyperlink>
      <w:r>
        <w:rPr>
          <w:rFonts w:ascii="Arial" w:hAnsi="Arial"/>
          <w:b w:val="0"/>
          <w:i w:val="0"/>
          <w:color w:val="4A5568"/>
          <w:sz w:val="18"/>
          <w:u w:val="none"/>
        </w:rPr>
        <w:t xml:space="preserve">  |  </w:t>
      </w:r>
      <w:hyperlink r:id="rId10">
        <w:r>
          <w:rPr>
            <w:rFonts w:ascii="Arial" w:hAnsi="Arial"/>
            <w:sz w:val="18"/>
            <w:color w:val="4A5568"/>
          </w:rPr>
          <w:t>github.com/cl20813</w:t>
        </w:r>
      </w:hyperlink>
    </w:p>
    <w:p>
      <w:pPr>
        <w:pStyle w:val="Heading1"/>
        <w:keepNext/>
        <w:spacing w:before="60" w:after="26"/>
        <w:pBdr>
          <w:bottom w:val="single" w:sz="5" w:space="1" w:color="7A8793"/>
        </w:pBdr>
      </w:pPr>
      <w:r>
        <w:rPr>
          <w:rFonts w:ascii="Arial" w:hAnsi="Arial"/>
          <w:b/>
          <w:i w:val="0"/>
          <w:color w:val="243B53"/>
          <w:sz w:val="20"/>
          <w:u w:val="none"/>
        </w:rPr>
        <w:t>SUMMARY</w:t>
      </w:r>
    </w:p>
    <w:p>
      <w:pPr>
        <w:spacing w:before="0" w:after="20" w:line="240" w:lineRule="auto"/>
      </w:pPr>
      <w:r>
        <w:rPr>
          <w:rFonts w:ascii="Arial" w:hAnsi="Arial"/>
          <w:b w:val="0"/>
          <w:i w:val="0"/>
          <w:color w:val="111111"/>
          <w:sz w:val="19"/>
          <w:u w:val="none"/>
        </w:rPr>
        <w:t>Computational statistician and Statistics Ph.D. candidate specializing in scalable likelihood inference, probabilistic and predictive modeling, and statistical diagnostics for large, dependent datasets. Builds reproducible Python/PyTorch workflows for data integration, model estimation, simulation, and validation; translates business questions into measurable statistical problems, evaluation metrics, and defensible results.</w:t>
      </w:r>
    </w:p>
    <w:p>
      <w:pPr>
        <w:pStyle w:val="Heading1"/>
        <w:keepNext/>
        <w:spacing w:before="60" w:after="26"/>
        <w:pBdr>
          <w:bottom w:val="single" w:sz="5" w:space="1" w:color="7A8793"/>
        </w:pBdr>
      </w:pPr>
      <w:r>
        <w:rPr>
          <w:rFonts w:ascii="Arial" w:hAnsi="Arial"/>
          <w:b/>
          <w:i w:val="0"/>
          <w:color w:val="243B53"/>
          <w:sz w:val="20"/>
          <w:u w:val="none"/>
        </w:rPr>
        <w:t>EDUCATION</w:t>
      </w:r>
    </w:p>
    <w:p>
      <w:pPr>
        <w:keepNext w:val="0"/>
        <w:tabs>
          <w:tab w:pos="10512" w:val="right"/>
        </w:tabs>
        <w:spacing w:before="0" w:after="7" w:line="240" w:lineRule="auto"/>
      </w:pPr>
      <w:r>
        <w:rPr>
          <w:rFonts w:ascii="Arial" w:hAnsi="Arial"/>
          <w:b/>
          <w:i w:val="0"/>
          <w:color w:val="111111"/>
          <w:sz w:val="19"/>
          <w:u w:val="none"/>
        </w:rPr>
        <w:t>Ph.D. in Statistics, Rutgers University, Piscataway, NJ</w:t>
      </w:r>
      <w:r>
        <w:rPr>
          <w:rFonts w:ascii="Arial" w:hAnsi="Arial"/>
          <w:b w:val="0"/>
          <w:i w:val="0"/>
          <w:color w:val="111111"/>
          <w:sz w:val="19"/>
          <w:u w:val="none"/>
        </w:rPr>
        <w:tab/>
        <w:t>Expected May 2027  |  GPA: 3.8/4.0</w:t>
      </w:r>
    </w:p>
    <w:p>
      <w:pPr>
        <w:keepNext w:val="0"/>
        <w:tabs>
          <w:tab w:pos="10512" w:val="right"/>
        </w:tabs>
        <w:spacing w:before="0" w:after="7" w:line="240" w:lineRule="auto"/>
      </w:pPr>
      <w:r>
        <w:rPr>
          <w:rFonts w:ascii="Arial" w:hAnsi="Arial"/>
          <w:b/>
          <w:i w:val="0"/>
          <w:color w:val="111111"/>
          <w:sz w:val="19"/>
          <w:u w:val="none"/>
        </w:rPr>
        <w:t>M.S. in Statistics, University of Minnesota, Minneapolis, MN</w:t>
      </w:r>
      <w:r>
        <w:rPr>
          <w:rFonts w:ascii="Arial" w:hAnsi="Arial"/>
          <w:b w:val="0"/>
          <w:i w:val="0"/>
          <w:color w:val="111111"/>
          <w:sz w:val="19"/>
          <w:u w:val="none"/>
        </w:rPr>
        <w:tab/>
        <w:t>Sep 2021  |  GPA: 3.7/4.0</w:t>
      </w:r>
    </w:p>
    <w:p>
      <w:pPr>
        <w:pStyle w:val="Heading1"/>
        <w:keepNext/>
        <w:spacing w:before="60" w:after="26"/>
        <w:pBdr>
          <w:bottom w:val="single" w:sz="5" w:space="1" w:color="7A8793"/>
        </w:pBdr>
      </w:pPr>
      <w:r>
        <w:rPr>
          <w:rFonts w:ascii="Arial" w:hAnsi="Arial"/>
          <w:b/>
          <w:i w:val="0"/>
          <w:color w:val="243B53"/>
          <w:sz w:val="20"/>
          <w:u w:val="none"/>
        </w:rPr>
        <w:t>TECHNICAL SKILLS</w:t>
      </w:r>
    </w:p>
    <w:p>
      <w:pPr>
        <w:spacing w:before="0" w:after="7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 xml:space="preserve">Programming and Statistical Computing: 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>Python (NumPy, Pandas, SciPy, PyTorch, LightGBM, scikit-learn), C++/pybind11 integration, Linux, Git, AWS EC2, HPC/SLURM; SQL/MySQL (working knowledge); CPU/GPU computing, data restructuring, and reproducible pipelines</w:t>
      </w:r>
    </w:p>
    <w:p>
      <w:pPr>
        <w:spacing w:before="0" w:after="7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 xml:space="preserve">Computational Statistics and Modeling: 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>Scalable likelihood approximation, Gaussian processes, MLE/GLS, numerical optimization, Monte Carlo simulation, statistical diagnostics, hypothesis testing, regression (GLM/GBM), machine learning, model selection and validation, uncertainty quantification, and missing-data analysis</w:t>
      </w:r>
    </w:p>
    <w:p>
      <w:pPr>
        <w:pStyle w:val="Heading1"/>
        <w:keepNext/>
        <w:spacing w:before="60" w:after="26"/>
        <w:pBdr>
          <w:bottom w:val="single" w:sz="5" w:space="1" w:color="7A8793"/>
        </w:pBdr>
      </w:pPr>
      <w:r>
        <w:rPr>
          <w:rFonts w:ascii="Arial" w:hAnsi="Arial"/>
          <w:b/>
          <w:i w:val="0"/>
          <w:color w:val="243B53"/>
          <w:sz w:val="20"/>
          <w:u w:val="none"/>
        </w:rPr>
        <w:t>EXPERIENCE</w:t>
      </w:r>
    </w:p>
    <w:p>
      <w:pPr>
        <w:keepNext/>
        <w:tabs>
          <w:tab w:pos="10512" w:val="right"/>
        </w:tabs>
        <w:spacing w:before="0" w:after="7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>JPMorgan Chase - Summer Quantitative Analytics Associate, Model Risk Governance and Review</w:t>
      </w:r>
      <w:r>
        <w:tab/>
      </w:r>
      <w:r>
        <w:rPr>
          <w:rFonts w:ascii="Arial" w:hAnsi="Arial"/>
          <w:b w:val="0"/>
          <w:i w:val="0"/>
          <w:color w:val="111111"/>
          <w:sz w:val="18"/>
          <w:u w:val="none"/>
        </w:rPr>
        <w:t>Summer 2026</w:t>
      </w:r>
    </w:p>
    <w:p>
      <w:pPr>
        <w:pStyle w:val="CompactBullet"/>
        <w:keepLines/>
        <w:numPr>
          <w:ilvl w:val="0"/>
          <w:numId w:val="10"/>
        </w:numPr>
        <w:spacing w:after="12" w:line="240" w:lineRule="auto"/>
      </w:pPr>
      <w:r>
        <w:rPr>
          <w:rFonts w:ascii="Arial" w:hAnsi="Arial"/>
          <w:b w:val="0"/>
          <w:i w:val="0"/>
          <w:color w:val="111111"/>
          <w:sz w:val="18"/>
          <w:u w:val="none"/>
        </w:rPr>
        <w:t>Translated a business monitoring question into explicit hypotheses and measurable decision rules, developing and validating a Sequential Probability Ratio Test for binary risk indicators.</w:t>
      </w:r>
    </w:p>
    <w:p>
      <w:pPr>
        <w:pStyle w:val="CompactBullet"/>
        <w:keepLines/>
        <w:numPr>
          <w:ilvl w:val="0"/>
          <w:numId w:val="10"/>
        </w:numPr>
        <w:spacing w:after="14" w:line="240" w:lineRule="auto"/>
      </w:pPr>
      <w:r>
        <w:rPr>
          <w:rFonts w:ascii="Arial" w:hAnsi="Arial"/>
          <w:b w:val="0"/>
          <w:i w:val="0"/>
          <w:color w:val="111111"/>
          <w:sz w:val="18"/>
          <w:u w:val="none"/>
        </w:rPr>
        <w:t>Modeled the cumulative log-likelihood-ratio process as a random walk and applied Brownian-motion approximation and dynamic-programming probability propagation to evaluate boundary-crossing probabilities, stopping-time distributions, Type I/II error, and early-decision tradeoffs.</w:t>
      </w:r>
    </w:p>
    <w:p>
      <w:pPr>
        <w:keepNext/>
        <w:tabs>
          <w:tab w:pos="10512" w:val="right"/>
        </w:tabs>
        <w:spacing w:before="0" w:after="7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>Travelers - Data Science Leadership Program, Business Insurance Pricing Team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ab/>
        <w:t>Summer 2025</w:t>
      </w:r>
    </w:p>
    <w:p>
      <w:pPr>
        <w:pStyle w:val="CompactBullet"/>
        <w:keepLines/>
        <w:numPr>
          <w:ilvl w:val="0"/>
          <w:numId w:val="10"/>
        </w:numPr>
        <w:spacing w:after="12" w:line="240" w:lineRule="auto"/>
      </w:pPr>
      <w:r>
        <w:rPr>
          <w:rFonts w:ascii="Arial" w:hAnsi="Arial"/>
          <w:b w:val="0"/>
          <w:i w:val="0"/>
          <w:color w:val="111111"/>
          <w:sz w:val="18"/>
          <w:u w:val="none"/>
        </w:rPr>
        <w:t>Developed an end-to-end LightGBM pricing pipeline across 2.46M+ records, including data preparation, feature processing, GLM regression benchmarking, model validation, and performance evaluation on AWS EC2.</w:t>
      </w:r>
    </w:p>
    <w:p>
      <w:pPr>
        <w:pStyle w:val="CompactBullet"/>
        <w:keepLines/>
        <w:numPr>
          <w:ilvl w:val="0"/>
          <w:numId w:val="10"/>
        </w:numPr>
        <w:spacing w:after="14" w:line="240" w:lineRule="auto"/>
      </w:pPr>
      <w:r>
        <w:rPr>
          <w:rFonts w:ascii="Arial" w:hAnsi="Arial"/>
          <w:b w:val="0"/>
          <w:i w:val="0"/>
          <w:color w:val="111111"/>
          <w:sz w:val="18"/>
          <w:u w:val="none"/>
        </w:rPr>
        <w:t>Presented model diagnostics and feature-attribution findings as pricing and risk-segmentation recommendations, translating technical results into clear actions for business stakeholders.</w:t>
      </w:r>
    </w:p>
    <w:p>
      <w:pPr>
        <w:pStyle w:val="Heading1"/>
        <w:keepNext/>
        <w:spacing w:before="60" w:after="26"/>
        <w:pBdr>
          <w:bottom w:val="single" w:sz="5" w:space="1" w:color="7A8793"/>
        </w:pBdr>
      </w:pPr>
      <w:r>
        <w:rPr>
          <w:rFonts w:ascii="Arial" w:hAnsi="Arial"/>
          <w:b/>
          <w:i w:val="0"/>
          <w:color w:val="243B53"/>
          <w:sz w:val="20"/>
          <w:u w:val="none"/>
        </w:rPr>
        <w:t>COMPUTATIONAL STATISTICS RESEARCH</w:t>
      </w:r>
    </w:p>
    <w:p>
      <w:pPr>
        <w:keepNext/>
        <w:tabs>
          <w:tab w:pos="10512" w:val="right"/>
        </w:tabs>
        <w:spacing w:before="0" w:after="7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>Ph.D. Dissertation Research - Scalable Statistical Computing and Model Diagnostics</w:t>
      </w:r>
      <w:r>
        <w:tab/>
      </w:r>
      <w:r>
        <w:rPr>
          <w:rFonts w:ascii="Arial" w:hAnsi="Arial"/>
          <w:b w:val="0"/>
          <w:i w:val="0"/>
          <w:color w:val="111111"/>
          <w:sz w:val="18"/>
          <w:u w:val="none"/>
        </w:rPr>
        <w:t>Sep 2024 - Present</w:t>
      </w:r>
    </w:p>
    <w:p>
      <w:pPr>
        <w:pStyle w:val="CompactBullet"/>
        <w:keepLines/>
        <w:numPr>
          <w:ilvl w:val="0"/>
          <w:numId w:val="10"/>
        </w:numPr>
        <w:spacing w:after="11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 xml:space="preserve">Scalable Inference: 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>Developed an advection-aware Vecchia likelihood approximation for nonseparable space-time Gaussian processes, using ordered local conditioning for likelihood-based parameter estimation and uncertainty quantification with up to 145,008 observations per day.</w:t>
      </w:r>
    </w:p>
    <w:p>
      <w:pPr>
        <w:pStyle w:val="CompactBullet"/>
        <w:keepLines/>
        <w:numPr>
          <w:ilvl w:val="0"/>
          <w:numId w:val="10"/>
        </w:numPr>
        <w:spacing w:after="11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 xml:space="preserve">Data Integration and Integrity: 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>Built workflows for quality filtering, missingness tracking, time-dependent coordinate offsets, nearest-center matching, spatial-threshold regular-grid construction, and dependency-aware ordering for noisy satellite data.</w:t>
      </w:r>
    </w:p>
    <w:p>
      <w:pPr>
        <w:pStyle w:val="CompactBullet"/>
        <w:keepLines/>
        <w:numPr>
          <w:ilvl w:val="0"/>
          <w:numId w:val="10"/>
        </w:numPr>
        <w:spacing w:after="13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 xml:space="preserve">Statistical Diagnostics and Computing: 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>Developed scale- and frequency-resolved diagnostics that localize covariance misspecification and distinguish persistent dependence from high-frequency noise and acquisition artifacts; implemented Python/PyTorch pipelines with L-BFGS optimization, CPU/GPU and HPC execution, and C++/pybind11 integration.</w:t>
      </w:r>
    </w:p>
    <w:p>
      <w:pPr>
        <w:keepNext/>
        <w:tabs>
          <w:tab w:pos="10512" w:val="right"/>
        </w:tabs>
        <w:spacing w:before="0" w:after="7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>Economic Policy Research - EITC and Household Labor Supply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ab/>
        <w:t>Hanyang University</w:t>
      </w:r>
    </w:p>
    <w:p>
      <w:pPr>
        <w:pStyle w:val="CompactBullet"/>
        <w:keepLines/>
        <w:numPr>
          <w:ilvl w:val="0"/>
          <w:numId w:val="10"/>
        </w:numPr>
        <w:spacing w:after="14" w:line="240" w:lineRule="auto"/>
      </w:pPr>
      <w:r>
        <w:rPr>
          <w:rFonts w:ascii="Arial" w:hAnsi="Arial"/>
          <w:b w:val="0"/>
          <w:i w:val="0"/>
          <w:color w:val="111111"/>
          <w:sz w:val="18"/>
          <w:u w:val="none"/>
        </w:rPr>
        <w:t>Estimated the effect of the Earned Income Tax Credit on household labor supply using fixed-effects regression and propensity-score matching with observed household covariates.</w:t>
      </w:r>
    </w:p>
    <w:p>
      <w:pPr>
        <w:pStyle w:val="Heading1"/>
        <w:keepNext/>
        <w:spacing w:before="60" w:after="26"/>
        <w:pBdr>
          <w:bottom w:val="single" w:sz="5" w:space="1" w:color="7A8793"/>
        </w:pBdr>
      </w:pPr>
      <w:r>
        <w:rPr>
          <w:rFonts w:ascii="Arial" w:hAnsi="Arial"/>
          <w:b/>
          <w:i w:val="0"/>
          <w:color w:val="243B53"/>
          <w:sz w:val="20"/>
          <w:u w:val="none"/>
        </w:rPr>
        <w:t>ADDITIONAL</w:t>
      </w:r>
    </w:p>
    <w:p>
      <w:pPr>
        <w:spacing w:before="0" w:after="6" w:line="240" w:lineRule="auto"/>
      </w:pPr>
      <w:r>
        <w:rPr>
          <w:rFonts w:ascii="Arial" w:hAnsi="Arial"/>
          <w:b/>
          <w:i w:val="0"/>
          <w:color w:val="111111"/>
          <w:sz w:val="17"/>
          <w:u w:val="none"/>
        </w:rPr>
        <w:t xml:space="preserve">Coursework: </w:t>
      </w:r>
      <w:r>
        <w:rPr>
          <w:rFonts w:ascii="Arial" w:hAnsi="Arial"/>
          <w:b w:val="0"/>
          <w:i w:val="0"/>
          <w:color w:val="111111"/>
          <w:sz w:val="17"/>
          <w:u w:val="none"/>
        </w:rPr>
        <w:t>Econometrics, Machine Learning, Probability Theory, Linear Algebra, Statistical Computing, Stochastic Processes, Advanced Theory of Statistics I-II, Data Structures and Algorithms, Microeconomics</w:t>
      </w:r>
    </w:p>
    <w:p>
      <w:pPr>
        <w:spacing w:before="0" w:after="0" w:line="240" w:lineRule="auto"/>
      </w:pPr>
      <w:r>
        <w:rPr>
          <w:rFonts w:ascii="Arial" w:hAnsi="Arial"/>
          <w:b/>
          <w:i w:val="0"/>
          <w:color w:val="111111"/>
          <w:sz w:val="17"/>
          <w:u w:val="none"/>
        </w:rPr>
        <w:t xml:space="preserve">Languages: </w:t>
      </w:r>
      <w:r>
        <w:rPr>
          <w:rFonts w:ascii="Arial" w:hAnsi="Arial"/>
          <w:b w:val="0"/>
          <w:i w:val="0"/>
          <w:color w:val="111111"/>
          <w:sz w:val="17"/>
          <w:u w:val="none"/>
        </w:rPr>
        <w:t>Korean (Native); English (Fluent); Chinese (Basic)</w:t>
      </w:r>
    </w:p>
    <w:sectPr w:rsidR="00FC693F" w:rsidRPr="0006063C" w:rsidSect="00034616">
      <w:pgSz w:w="12240" w:h="15840"/>
      <w:pgMar w:top="720" w:right="864" w:bottom="720" w:left="864" w:header="360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space"/>
      <w:pPr>
        <w:tabs>
          <w:tab w:val="num" w:pos="320"/>
        </w:tabs>
        <w:ind w:left="320" w:hanging="180"/>
      </w:pPr>
      <w:rPr>
        <w:rFonts w:ascii="Arial" w:hAnsi="Arial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rial" w:hAnsi="Arial"/>
      <w:b w:val="0"/>
      <w:color w:val="111111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 w:after="40" w:line="240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243B53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40" w:after="20" w:line="240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111111"/>
      <w:sz w:val="1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" w:after="0" w:line="240" w:lineRule="auto"/>
      <w:outlineLvl w:val="2"/>
    </w:pPr>
    <w:rPr>
      <w:rFonts w:asciiTheme="majorHAnsi" w:eastAsiaTheme="majorEastAsia" w:hAnsiTheme="majorHAnsi" w:cstheme="majorBidi" w:ascii="Arial" w:hAnsi="Arial"/>
      <w:b/>
      <w:bCs/>
      <w:color w:val="4A5568"/>
      <w:sz w:val="1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111111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40" w:line="240" w:lineRule="auto"/>
    </w:pPr>
    <w:rPr>
      <w:rFonts w:asciiTheme="majorHAnsi" w:eastAsiaTheme="majorEastAsia" w:hAnsiTheme="majorHAnsi" w:cstheme="majorBidi" w:ascii="Arial" w:hAnsi="Arial"/>
      <w:b w:val="0"/>
      <w:i/>
      <w:iCs/>
      <w:color w:val="4A5568"/>
      <w:spacing w:val="15"/>
      <w:sz w:val="19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mpactBullet">
    <w:name w:val="Compact Bullet"/>
    <w:pPr>
      <w:keepLines/>
      <w:spacing w:before="0" w:after="10" w:line="240" w:lineRule="auto"/>
      <w:ind w:left="317" w:hanging="173"/>
    </w:pPr>
    <w:rPr>
      <w:rFonts w:ascii="Arial" w:hAnsi="Arial"/>
      <w:b w:val="0"/>
      <w:color w:val="111111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joonwon.lee22@gmail.com" TargetMode="External"/><Relationship Id="rId10" Type="http://schemas.openxmlformats.org/officeDocument/2006/relationships/hyperlink" Target="https://github.com/cl2081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Joonwon Lee - Google Data Scientist Resume</dc:title>
  <dc:subject>Targeted resume for Data Scientist at Google YouTube</dc:subject>
  <dc:creator>Joonwon Lee</dc:creator>
  <cp:keywords>computational statistics, scalable inference, predictive modeling, statistical machine learning, data integration, data integrity, experimentation, Python, PyTorch, SQL, stakeholder communication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