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color w:val="111111"/>
          <w:sz w:val="19"/>
          <w:u w:val="none"/>
        </w:rPr>
        <w:t>Statistics Ph.D. candidate and computational statistician specializing in scalable likelihood inference, stochastic-process modeling, numerical optimization, and statistical diagnostics for dependent data. Builds reproducible Python/PyTorch research systems, integrates C++/pybind11 for performance-critical computation, and evaluates model fit, uncertainty, and misspecification through simulation and empirical diagnostics.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Expected May 2027  |  GPA: 3.8/4.0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Programming and Research Systems: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Python (NumPy, Pandas, SciPy, PyTorch, LightGBM, scikit-learn), C++/pybind11 integration, R, SQL, Linux, Git, AWS EC2, HPC/SLURM; CPU/GPU computing, backtesting, and restartable research pipelines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Quantitative Methods: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Stochastic-process and time-series modeling, Monte Carlo simulation, MLE/GLS, numerical optimization, spectral and autocorrelation analysis, hypothesis testing, model diagnostics and validation, backtesting, regression, and machine learning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INDUSTRY EXPERIENCE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JPMorgan Chase - Summer Quantitative Analytics Associate, Model Risk Governance and Review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2026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 sequential risk-monitoring framework for binary indicators, using Brownian-motion approximation, dynamic-programming probability propagation, and simulation to quantify stopping-time uncertainty and early-decision tradeoffs.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Specified and validated a Sequential Probability Ratio Test with explicit hypotheses and likelihood-ratio boundaries; evaluated boundary-crossing probabilities, stopping behavior, and Type I/II error.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pricing pipeline across 2.46M+ records, including data preparation, feature processing, GLM benchmarking, model selection, validation, and performance diagnostics on AWS EC2; presented findings as pricing and risk-segmentation recommendations to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RESEARCH AND TRADING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IMC Prosperity Algorithmic Trading Competition - Top 2.39% of Participants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Apr 2025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Built and backtested an inventory-aware market-making strategy around empirically calibrated reference values; tracked position-limit saturation over a rolling 10-step window and triggered more aggressive inventory-reducing quotes to manage persistent exposure.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Dissertation Research - Scalable Stochastic Modeling and Statistical Diagnostics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Scalable Inference: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Developed an advection-aware Vecchia likelihood approximation for nonseparable space-time covariance structures, using ordered local conditional models for likelihood-based parameter estimation and uncertainty quantification with up to 145,008 observations per day.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Stochastic Diagnostics: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Developed statistical diagnostics for dependent stochastic processes that localize where a fitted model fails across scale and frequency, distinguishing persistent dependence from high-frequency noise, missingness, acquisition artifacts, and covariance misspecification.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Research Systems: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Built reusable Python/PyTorch workflows for data-quality filtering, time-dependent alignment, optimization, simulation, and restartable CPU/GPU and HPC execution; integrated performance-critical C++ ordering routines through pybind11.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5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Machine Learning, Linear Algebra, Probability Theory, Stochastic Processes, Statistical Computing, Advanced Theory of Statistics I-II, Data Structures and Algorithms, Microeconomics, Econometrics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720" w:right="979" w:bottom="720" w:left="979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20"/>
        </w:tabs>
        <w:ind w:left="3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0" w:lineRule="auto"/>
      <w:ind w:left="317" w:hanging="173"/>
    </w:pPr>
    <w:rPr>
      <w:rFonts w:ascii="Arial" w:hAnsi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Old Mission Quantitative Researcher Resume</dc:title>
  <dc:subject>Application for Quantitative Researcher Ph.D. - 2027 Graduate Program</dc:subject>
  <dc:creator>Joonwon Lee</dc:creator>
  <cp:keywords>quantitative research, stochastic modeling, model calibration, model validation, market making, Python, C++ integration, simulation, statistical diagnostics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