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20"/>
          <w:u w:val="none"/>
        </w:rPr>
        <w:t>Statistics Ph.D. candidate and quantitative modeler with experience developing and validating predictive and statistical models for financial-risk monitoring, commercial property insurance pricing, and large dependent datasets. Combines GLM/GBM, econometrics, Monte Carlo simulation, optimization, and statistical diagnostics with reproducible Python/PyTorch workflows, translating business and risk questions into independently developed, testable models.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166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166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 xml:space="preserve">Programming and Data: 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>Python (NumPy, Pandas, SciPy, PyTorch, LightGBM, scikit-learn), SQL, C++/pybind11 integration, Linux, Git, AWS EC2, HPC/SLURM; data cleaning, feature processing, missingness handling, and CPU/GPU computing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 xml:space="preserve">Modeling and Analytics: 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>Predictive modeling, GLM/GBM, econometrics, machine learning, MLE/GLS, Monte Carlo simulation, numerical optimization, hypothesis testing, stochastic processes, model selection, validation, and performance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166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business monitoring requirement into explicit hypotheses, likelihood-ratio boundaries, and controlled stopping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Monte Carlo simulation to evaluate boundary-crossing probabilities, stopping behavior, Type I/II error, and model limitations.</w:t>
      </w:r>
    </w:p>
    <w:p>
      <w:pPr>
        <w:keepNext/>
        <w:tabs>
          <w:tab w:pos="10166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commercial property-risk records, including data preparation, feature processing, GLM benchmarking, model selection, validation, and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predictive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MODELING AND RESEARCH</w:t>
      </w:r>
    </w:p>
    <w:p>
      <w:pPr>
        <w:keepNext/>
        <w:tabs>
          <w:tab w:pos="10166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Dissertation Research - Scalable Model Development and Diagnostics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Independent Model Development: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Processing and Cleaning: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workflows for quality filtering, missingness tracking, time-dependent coordinate offsets, nearest-neighbor center matching, and regular-grid construction to correct systematic measurement shifts.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Evaluation: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simulation studies and frequency-resolved diagnostics to identify whether misspecification arises from low-frequency structure, high-frequency behavior, noise, or dependence.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GLS profiling, L-BFGS optimization, CPU/GPU execution, cached artifacts, and restartable HPC jobs; integrated C++ routines through pybind11.</w:t>
      </w:r>
    </w:p>
    <w:p>
      <w:pPr>
        <w:keepNext/>
        <w:tabs>
          <w:tab w:pos="10166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Econometrics Project - Earned Income Tax Credit and Household Labor Supply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Graduate Research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Estimated the effect of the Earned Income Tax Credit on household labor supply using fixed-effects regression and propensity-score matching with observed household covariates.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Econometrics, Machine Learning, Probability Theory, Stochastic Processes, Statistical Computing, Advanced Theory of Statistics I-II, Data Structures and Algorithms, Linear Algebra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49" w:right="1037" w:bottom="749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2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2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Freddie Mac Quantitative Analytics Senior Resume</dc:title>
  <dc:subject>Targeted resume for Quantitative Analytics Senior, Single Family Modeling at Freddie Mac</dc:subject>
  <dc:creator>Joonwon Lee</dc:creator>
  <cp:keywords>predictive modeling, property risk, financial risk, econometrics, machine learning, Monte Carlo simulation, optimization, model development, model validation, data processing,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