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data scientist with hands-on property-insurance pricing experience and a rigorous background in predictive modeling, hypothesis testing, and statistical diagnostics. Built an end-to-end GLM/LightGBM workflow across 2.46M+ property-risk records and reusable Python/PyTorch pipelines for large, noisy datasets. Translates model evidence, uncertainty, and diagnostics into clear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SQL, R, Linux, Git, AWS EC2, HPC/SLURM; reproducible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Predictive Modeling and Validation: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Data preparation, feature processing, regression, GLM/GBM, supervised learning, model selection, calibration and validation, performance evaluation, feature attribution, hypothesis testing, Monte Carlo simulation, statistical diagnostics, documentation, and stakeholder communication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requirement into explicit hypotheses, likelihood-ratio boundaries, and controlled stopping decisions.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Type I/II error, boundary-crossing probabilities, stopping behavior, uncertainty, and model limitations.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property-pricing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predictive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RESEARCH AND ANALYTICAL SYSTEMS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Model Development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Quality and Root-Cause Analysis: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workflows for quality filtering, missingness tracking, time-specific coordinate offsets, nearest-neighbor matching, and irregular-to-regular grid mapping to separate systematic acquisition artifacts from random noise and model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tests to identify whether discrepancies arise from low-frequency structure, high-frequency behavior, noise, missingness, or dependence; implemented reusable Python/PyTorch workflows for estimation, simulation, validation, and HPC execution.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Probability Theory, Stochastic Processes, Statistical Computing, Advanced Theory of Statistics I-II, Data Structures and Algorithms, Linear Algebra,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49" w:right="1008" w:bottom="749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2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2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Liberty Mutual Data Scientist Resume</dc:title>
  <dc:subject>Targeted resume for Data Scientist - Property and Specialty Product Design and Modeling</dc:subject>
  <dc:creator>Joonwon Lee</dc:creator>
  <cp:keywords>property insurance pricing, predictive modeling, GLM, LightGBM, hypothesis testing, statistical diagnostics, model validation, Python, AWS, stakeholder communication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