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stochastic processes, likelihood-based inference, simulation, and scale- and frequency-resolved signal diagnostics. Builds reproducible Python/PyTorch research systems for large dependent datasets and integrates C++ for performance-critical computation. Brings rigorous hypothesis-testing and model-evaluation experience, with demonstrated interest in systematic trading, market making, and empirical strategy research.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SQL, Linux, Git, AWS EC2, HPC/SLURM; CPU/GPU computing, cached artifacts,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and stochastic processes, Monte Carlo simulation, hypothesis testing, MLE/GLS, numerical optimization, time-series and spatiotemporal modeling, spectral and autocorrelation analysis, regression, machine learning, model validation,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translating a monitoring problem into explicit hypotheses, likelihood-ratio boundaries, and controlled sequential decisions.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evaluate boundary-crossing probabilities, stopping behavior, Type I/II error, and early-decision tradeoffs.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Evaluated model performance and feature-attribution patterns and translated findings into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using market-based fair-value estimation, inventory-aware quoting, rolling-window exposure controls, dynamic liquidation rules, and benchmark-driven performance analysis.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Signal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Inference: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using ordered conditional models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Signal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analyses to determine whether apparent patterns reflect persistent dependence, high-frequency noise, missingness, acquisition artifacts, or model misspecification.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Infrastructure: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time-dependent alignment, optimization, simulation, cached outputs, and restartable CPU/GPU and HPC execution; integrated performance-critical C++ ordering routines through pybind11.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Tower Research Quantitative Trader Researcher Resume</dc:title>
  <dc:subject>Targeted resume for Quantitative Trader / Researcher at Tower Research Capital</dc:subject>
  <dc:creator>Joonwon Lee</dc:creator>
  <cp:keywords>quantitative research, systematic trading, stochastic modeling, simulation, signal diagnostics, Python, C++ integration, large-scale data, spectral analysis, hypothesis testing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