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B581D" w14:textId="77777777" w:rsidR="00AD330A" w:rsidRDefault="00AD330A" w:rsidP="006275D6">
      <w:pPr>
        <w:jc w:val="both"/>
        <w:rPr>
          <w:sz w:val="32"/>
          <w:szCs w:val="32"/>
        </w:rPr>
      </w:pPr>
      <w:r>
        <w:rPr>
          <w:sz w:val="32"/>
          <w:szCs w:val="32"/>
        </w:rPr>
        <w:t>For TCGA-blca patients belonging to high or low tmb levels and having til maps, we compute the global moran’s index by considering both tmb heat map and til map. Using the computed moran’s index, we select the median cut-off value to divide patients into two groups. The KM curve is plotted as follows:</w:t>
      </w:r>
    </w:p>
    <w:p w14:paraId="390D4F9F" w14:textId="5D564614" w:rsidR="00AD330A" w:rsidRDefault="00AD330A" w:rsidP="006275D6">
      <w:pPr>
        <w:jc w:val="both"/>
        <w:rPr>
          <w:sz w:val="32"/>
          <w:szCs w:val="32"/>
        </w:rPr>
      </w:pPr>
      <w:r>
        <w:rPr>
          <w:noProof/>
          <w:sz w:val="32"/>
          <w:szCs w:val="32"/>
        </w:rPr>
        <w:drawing>
          <wp:inline distT="0" distB="0" distL="0" distR="0" wp14:anchorId="49009769" wp14:editId="00B2EC1D">
            <wp:extent cx="5230368" cy="5177282"/>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4">
                      <a:extLst>
                        <a:ext uri="{28A0092B-C50C-407E-A947-70E740481C1C}">
                          <a14:useLocalDpi xmlns:a14="http://schemas.microsoft.com/office/drawing/2010/main" val="0"/>
                        </a:ext>
                      </a:extLst>
                    </a:blip>
                    <a:stretch>
                      <a:fillRect/>
                    </a:stretch>
                  </pic:blipFill>
                  <pic:spPr>
                    <a:xfrm>
                      <a:off x="0" y="0"/>
                      <a:ext cx="5241599" cy="5188399"/>
                    </a:xfrm>
                    <a:prstGeom prst="rect">
                      <a:avLst/>
                    </a:prstGeom>
                  </pic:spPr>
                </pic:pic>
              </a:graphicData>
            </a:graphic>
          </wp:inline>
        </w:drawing>
      </w:r>
    </w:p>
    <w:p w14:paraId="75448FA5" w14:textId="5C1CB642" w:rsidR="00AD330A" w:rsidRDefault="00AD330A" w:rsidP="006275D6">
      <w:pPr>
        <w:jc w:val="both"/>
        <w:rPr>
          <w:sz w:val="32"/>
          <w:szCs w:val="32"/>
        </w:rPr>
      </w:pPr>
      <w:r>
        <w:rPr>
          <w:sz w:val="32"/>
          <w:szCs w:val="32"/>
        </w:rPr>
        <w:t>From the above curve, unfortunately we cannot stratify patients into two groups with significant different survival.</w:t>
      </w:r>
      <w:bookmarkStart w:id="0" w:name="_GoBack"/>
      <w:bookmarkEnd w:id="0"/>
    </w:p>
    <w:p w14:paraId="72379CB5" w14:textId="77777777" w:rsidR="00AD330A" w:rsidRDefault="00AD330A" w:rsidP="006275D6">
      <w:pPr>
        <w:jc w:val="both"/>
        <w:rPr>
          <w:sz w:val="32"/>
          <w:szCs w:val="32"/>
        </w:rPr>
      </w:pPr>
    </w:p>
    <w:p w14:paraId="0A238B23" w14:textId="77777777" w:rsidR="00AD330A" w:rsidRDefault="00AD330A" w:rsidP="006275D6">
      <w:pPr>
        <w:jc w:val="both"/>
        <w:rPr>
          <w:sz w:val="32"/>
          <w:szCs w:val="32"/>
        </w:rPr>
      </w:pPr>
    </w:p>
    <w:p w14:paraId="1148966D" w14:textId="5A83B780" w:rsidR="009A4213" w:rsidRDefault="009A4213" w:rsidP="006275D6">
      <w:pPr>
        <w:jc w:val="both"/>
        <w:rPr>
          <w:sz w:val="32"/>
          <w:szCs w:val="32"/>
        </w:rPr>
      </w:pPr>
      <w:r>
        <w:rPr>
          <w:sz w:val="32"/>
          <w:szCs w:val="32"/>
        </w:rPr>
        <w:lastRenderedPageBreak/>
        <w:t>For the (ground truth) high TMB patients, we compute the Global Moran’s index from til map. Then we divide the high TMB patients into two groups by using the median cut-off value. The KM curve is as follows:</w:t>
      </w:r>
    </w:p>
    <w:p w14:paraId="128BC346" w14:textId="6BBCD5EB" w:rsidR="009A4213" w:rsidRDefault="009A4213">
      <w:pPr>
        <w:rPr>
          <w:sz w:val="32"/>
          <w:szCs w:val="32"/>
        </w:rPr>
      </w:pPr>
      <w:r>
        <w:rPr>
          <w:noProof/>
          <w:sz w:val="32"/>
          <w:szCs w:val="32"/>
        </w:rPr>
        <w:drawing>
          <wp:inline distT="0" distB="0" distL="0" distR="0" wp14:anchorId="5DD0DB78" wp14:editId="70DC572B">
            <wp:extent cx="5943600" cy="5883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tm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883275"/>
                    </a:xfrm>
                    <a:prstGeom prst="rect">
                      <a:avLst/>
                    </a:prstGeom>
                  </pic:spPr>
                </pic:pic>
              </a:graphicData>
            </a:graphic>
          </wp:inline>
        </w:drawing>
      </w:r>
    </w:p>
    <w:p w14:paraId="4667902E" w14:textId="09E5193A" w:rsidR="006275D6" w:rsidRDefault="006275D6">
      <w:pPr>
        <w:rPr>
          <w:sz w:val="32"/>
          <w:szCs w:val="32"/>
        </w:rPr>
      </w:pPr>
      <w:r>
        <w:rPr>
          <w:sz w:val="32"/>
          <w:szCs w:val="32"/>
        </w:rPr>
        <w:t>From the KM curve, we can see: using moran’s global index on til maps, we cannot stratify high tmb patients into two groups with significant different survival.</w:t>
      </w:r>
      <w:r w:rsidR="00052C8B">
        <w:rPr>
          <w:sz w:val="32"/>
          <w:szCs w:val="32"/>
        </w:rPr>
        <w:t xml:space="preserve"> </w:t>
      </w:r>
    </w:p>
    <w:p w14:paraId="5E73D946" w14:textId="77777777" w:rsidR="009A4213" w:rsidRDefault="009A4213">
      <w:pPr>
        <w:rPr>
          <w:sz w:val="32"/>
          <w:szCs w:val="32"/>
        </w:rPr>
      </w:pPr>
    </w:p>
    <w:p w14:paraId="1918FC36" w14:textId="588E1977" w:rsidR="00D852A2" w:rsidRDefault="00D852A2">
      <w:pPr>
        <w:rPr>
          <w:sz w:val="32"/>
          <w:szCs w:val="32"/>
        </w:rPr>
      </w:pPr>
      <w:r w:rsidRPr="00D852A2">
        <w:rPr>
          <w:sz w:val="32"/>
          <w:szCs w:val="32"/>
        </w:rPr>
        <w:lastRenderedPageBreak/>
        <w:t>TCGA</w:t>
      </w:r>
      <w:r>
        <w:rPr>
          <w:sz w:val="32"/>
          <w:szCs w:val="32"/>
        </w:rPr>
        <w:t>_blca patients</w:t>
      </w:r>
      <w:r w:rsidR="000948AD">
        <w:rPr>
          <w:sz w:val="32"/>
          <w:szCs w:val="32"/>
        </w:rPr>
        <w:t xml:space="preserve"> (124 patients)</w:t>
      </w:r>
      <w:r>
        <w:rPr>
          <w:sz w:val="32"/>
          <w:szCs w:val="32"/>
        </w:rPr>
        <w:t xml:space="preserve"> </w:t>
      </w:r>
      <w:r w:rsidR="000948AD">
        <w:rPr>
          <w:sz w:val="32"/>
          <w:szCs w:val="32"/>
        </w:rPr>
        <w:t>are predicted into the following</w:t>
      </w:r>
      <w:r>
        <w:rPr>
          <w:sz w:val="32"/>
          <w:szCs w:val="32"/>
        </w:rPr>
        <w:t xml:space="preserve"> two groups</w:t>
      </w:r>
      <w:r w:rsidR="00B4563B">
        <w:rPr>
          <w:sz w:val="32"/>
          <w:szCs w:val="32"/>
        </w:rPr>
        <w:t xml:space="preserve"> </w:t>
      </w:r>
      <w:r w:rsidR="00117028">
        <w:rPr>
          <w:sz w:val="32"/>
          <w:szCs w:val="32"/>
        </w:rPr>
        <w:t>(</w:t>
      </w:r>
      <w:r w:rsidR="00B4563B">
        <w:rPr>
          <w:sz w:val="32"/>
          <w:szCs w:val="32"/>
        </w:rPr>
        <w:t>based on automatic prediction</w:t>
      </w:r>
      <w:r w:rsidR="00117028">
        <w:rPr>
          <w:sz w:val="32"/>
          <w:szCs w:val="32"/>
        </w:rPr>
        <w:t>)</w:t>
      </w:r>
      <w:r>
        <w:rPr>
          <w:sz w:val="32"/>
          <w:szCs w:val="32"/>
        </w:rPr>
        <w:t xml:space="preserve">: </w:t>
      </w:r>
    </w:p>
    <w:p w14:paraId="500DE7FF" w14:textId="7679C4E3" w:rsidR="00D852A2" w:rsidRPr="00D852A2" w:rsidRDefault="00D852A2">
      <w:pPr>
        <w:rPr>
          <w:sz w:val="32"/>
          <w:szCs w:val="32"/>
        </w:rPr>
      </w:pPr>
      <w:r>
        <w:rPr>
          <w:sz w:val="32"/>
          <w:szCs w:val="32"/>
        </w:rPr>
        <w:t>Class 1(High TMB-Low Entropy) vs Class 2 (Low TMB-Low Entropy)</w:t>
      </w:r>
    </w:p>
    <w:p w14:paraId="229444E7" w14:textId="2FA0EDF8" w:rsidR="00D852A2" w:rsidRDefault="00D852A2">
      <w:pPr>
        <w:rPr>
          <w:sz w:val="32"/>
          <w:szCs w:val="32"/>
        </w:rPr>
      </w:pPr>
      <w:r>
        <w:rPr>
          <w:sz w:val="32"/>
          <w:szCs w:val="32"/>
        </w:rPr>
        <w:t>The mean/median survival time (in days) for the class 1 is: 1015/706 Days</w:t>
      </w:r>
    </w:p>
    <w:p w14:paraId="4BD6227A" w14:textId="175AB3D6" w:rsidR="00D852A2" w:rsidRPr="00D852A2" w:rsidRDefault="00D852A2">
      <w:pPr>
        <w:rPr>
          <w:sz w:val="32"/>
          <w:szCs w:val="32"/>
        </w:rPr>
      </w:pPr>
      <w:r>
        <w:rPr>
          <w:sz w:val="32"/>
          <w:szCs w:val="32"/>
        </w:rPr>
        <w:t>The mean/median survival time (in days) for the class 2 is: 696/428 Days</w:t>
      </w:r>
    </w:p>
    <w:p w14:paraId="6DF067F4" w14:textId="23A84BEA" w:rsidR="00CD7FAB" w:rsidRDefault="00D852A2">
      <w:pPr>
        <w:rPr>
          <w:sz w:val="32"/>
          <w:szCs w:val="32"/>
        </w:rPr>
      </w:pPr>
      <w:r w:rsidRPr="00D852A2">
        <w:rPr>
          <w:noProof/>
          <w:sz w:val="32"/>
          <w:szCs w:val="32"/>
        </w:rPr>
        <w:drawing>
          <wp:inline distT="0" distB="0" distL="0" distR="0" wp14:anchorId="5F0DCBC1" wp14:editId="72C4816A">
            <wp:extent cx="5943600" cy="5599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3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99430"/>
                    </a:xfrm>
                    <a:prstGeom prst="rect">
                      <a:avLst/>
                    </a:prstGeom>
                  </pic:spPr>
                </pic:pic>
              </a:graphicData>
            </a:graphic>
          </wp:inline>
        </w:drawing>
      </w:r>
    </w:p>
    <w:p w14:paraId="199651E9" w14:textId="6F4B6AE9" w:rsidR="006F0189" w:rsidRDefault="006F0189" w:rsidP="006F0189">
      <w:pPr>
        <w:rPr>
          <w:sz w:val="32"/>
          <w:szCs w:val="32"/>
        </w:rPr>
      </w:pPr>
      <w:r w:rsidRPr="00D852A2">
        <w:rPr>
          <w:sz w:val="32"/>
          <w:szCs w:val="32"/>
        </w:rPr>
        <w:lastRenderedPageBreak/>
        <w:t>TCGA</w:t>
      </w:r>
      <w:r>
        <w:rPr>
          <w:sz w:val="32"/>
          <w:szCs w:val="32"/>
        </w:rPr>
        <w:t>_blca patients (248 patients) are predicted into the following two groups</w:t>
      </w:r>
      <w:r w:rsidR="000734E5">
        <w:rPr>
          <w:sz w:val="32"/>
          <w:szCs w:val="32"/>
        </w:rPr>
        <w:t xml:space="preserve"> </w:t>
      </w:r>
      <w:r w:rsidR="00401080">
        <w:rPr>
          <w:sz w:val="32"/>
          <w:szCs w:val="32"/>
        </w:rPr>
        <w:t>(</w:t>
      </w:r>
      <w:r w:rsidR="000734E5">
        <w:rPr>
          <w:sz w:val="32"/>
          <w:szCs w:val="32"/>
        </w:rPr>
        <w:t>based on automatic prediction</w:t>
      </w:r>
      <w:r w:rsidR="00401080">
        <w:rPr>
          <w:sz w:val="32"/>
          <w:szCs w:val="32"/>
        </w:rPr>
        <w:t>)</w:t>
      </w:r>
      <w:r>
        <w:rPr>
          <w:sz w:val="32"/>
          <w:szCs w:val="32"/>
        </w:rPr>
        <w:t xml:space="preserve">: </w:t>
      </w:r>
    </w:p>
    <w:p w14:paraId="36D10EA5" w14:textId="32FF1E02" w:rsidR="006F0189" w:rsidRPr="00D852A2" w:rsidRDefault="006F0189" w:rsidP="006F0189">
      <w:pPr>
        <w:rPr>
          <w:sz w:val="32"/>
          <w:szCs w:val="32"/>
        </w:rPr>
      </w:pPr>
      <w:r>
        <w:rPr>
          <w:sz w:val="32"/>
          <w:szCs w:val="32"/>
        </w:rPr>
        <w:t>Class 1(High TMB) vs Class 2 (Low TMB)</w:t>
      </w:r>
    </w:p>
    <w:p w14:paraId="0D2B8FDC" w14:textId="4DA8F34C" w:rsidR="006F0189" w:rsidRDefault="006F0189" w:rsidP="006F0189">
      <w:pPr>
        <w:rPr>
          <w:sz w:val="32"/>
          <w:szCs w:val="32"/>
        </w:rPr>
      </w:pPr>
      <w:r>
        <w:rPr>
          <w:sz w:val="32"/>
          <w:szCs w:val="32"/>
        </w:rPr>
        <w:t xml:space="preserve">The mean/median survival time (in days) for the class 1 is: </w:t>
      </w:r>
      <w:r w:rsidR="00C01AE4">
        <w:rPr>
          <w:sz w:val="32"/>
          <w:szCs w:val="32"/>
        </w:rPr>
        <w:t>880</w:t>
      </w:r>
      <w:r>
        <w:rPr>
          <w:sz w:val="32"/>
          <w:szCs w:val="32"/>
        </w:rPr>
        <w:t>/</w:t>
      </w:r>
      <w:r w:rsidR="00C01AE4">
        <w:rPr>
          <w:sz w:val="32"/>
          <w:szCs w:val="32"/>
        </w:rPr>
        <w:t xml:space="preserve">590 </w:t>
      </w:r>
      <w:r>
        <w:rPr>
          <w:sz w:val="32"/>
          <w:szCs w:val="32"/>
        </w:rPr>
        <w:t>Days</w:t>
      </w:r>
    </w:p>
    <w:p w14:paraId="5B3A9C13" w14:textId="25454088" w:rsidR="006F0189" w:rsidRPr="00D852A2" w:rsidRDefault="006F0189" w:rsidP="006F0189">
      <w:pPr>
        <w:rPr>
          <w:sz w:val="32"/>
          <w:szCs w:val="32"/>
        </w:rPr>
      </w:pPr>
      <w:r>
        <w:rPr>
          <w:sz w:val="32"/>
          <w:szCs w:val="32"/>
        </w:rPr>
        <w:t xml:space="preserve">The mean/median survival time (in days) for the class 2 is: </w:t>
      </w:r>
      <w:r w:rsidR="00C01AE4">
        <w:rPr>
          <w:sz w:val="32"/>
          <w:szCs w:val="32"/>
        </w:rPr>
        <w:t>746</w:t>
      </w:r>
      <w:r>
        <w:rPr>
          <w:sz w:val="32"/>
          <w:szCs w:val="32"/>
        </w:rPr>
        <w:t>/4</w:t>
      </w:r>
      <w:r w:rsidR="00C01AE4">
        <w:rPr>
          <w:sz w:val="32"/>
          <w:szCs w:val="32"/>
        </w:rPr>
        <w:t>60</w:t>
      </w:r>
      <w:r>
        <w:rPr>
          <w:sz w:val="32"/>
          <w:szCs w:val="32"/>
        </w:rPr>
        <w:t xml:space="preserve"> Days</w:t>
      </w:r>
    </w:p>
    <w:p w14:paraId="3DB666E6" w14:textId="77777777" w:rsidR="006F0189" w:rsidRDefault="006F0189">
      <w:pPr>
        <w:rPr>
          <w:noProof/>
          <w:sz w:val="32"/>
          <w:szCs w:val="32"/>
        </w:rPr>
      </w:pPr>
    </w:p>
    <w:p w14:paraId="0A7511F3" w14:textId="4433734E" w:rsidR="006F0189" w:rsidRDefault="006F0189">
      <w:pPr>
        <w:rPr>
          <w:sz w:val="32"/>
          <w:szCs w:val="32"/>
        </w:rPr>
      </w:pPr>
      <w:r>
        <w:rPr>
          <w:noProof/>
          <w:sz w:val="32"/>
          <w:szCs w:val="32"/>
        </w:rPr>
        <w:drawing>
          <wp:inline distT="0" distB="0" distL="0" distR="0" wp14:anchorId="40242256" wp14:editId="55D0F334">
            <wp:extent cx="59436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5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p w14:paraId="78890855" w14:textId="230442ED" w:rsidR="0003636B" w:rsidRDefault="0003636B" w:rsidP="0003636B">
      <w:pPr>
        <w:rPr>
          <w:sz w:val="32"/>
          <w:szCs w:val="32"/>
        </w:rPr>
      </w:pPr>
      <w:r w:rsidRPr="00D852A2">
        <w:rPr>
          <w:sz w:val="32"/>
          <w:szCs w:val="32"/>
        </w:rPr>
        <w:lastRenderedPageBreak/>
        <w:t>TCGA</w:t>
      </w:r>
      <w:r>
        <w:rPr>
          <w:sz w:val="32"/>
          <w:szCs w:val="32"/>
        </w:rPr>
        <w:t xml:space="preserve">_blca patients (248 patients) are divided into the following two groups </w:t>
      </w:r>
      <w:r w:rsidRPr="0003636B">
        <w:rPr>
          <w:color w:val="FF0000"/>
          <w:sz w:val="32"/>
          <w:szCs w:val="32"/>
        </w:rPr>
        <w:t>based on the ground truth TMB level</w:t>
      </w:r>
      <w:r>
        <w:rPr>
          <w:sz w:val="32"/>
          <w:szCs w:val="32"/>
        </w:rPr>
        <w:t xml:space="preserve">: </w:t>
      </w:r>
    </w:p>
    <w:p w14:paraId="3C119E90" w14:textId="77777777" w:rsidR="0003636B" w:rsidRPr="00D852A2" w:rsidRDefault="0003636B" w:rsidP="0003636B">
      <w:pPr>
        <w:rPr>
          <w:sz w:val="32"/>
          <w:szCs w:val="32"/>
        </w:rPr>
      </w:pPr>
      <w:r>
        <w:rPr>
          <w:sz w:val="32"/>
          <w:szCs w:val="32"/>
        </w:rPr>
        <w:t>Class 1(High TMB) vs Class 2 (Low TMB)</w:t>
      </w:r>
    </w:p>
    <w:p w14:paraId="0AFCD38E" w14:textId="0854D037" w:rsidR="0003636B" w:rsidRDefault="0003636B" w:rsidP="0003636B">
      <w:pPr>
        <w:rPr>
          <w:sz w:val="32"/>
          <w:szCs w:val="32"/>
        </w:rPr>
      </w:pPr>
      <w:r>
        <w:rPr>
          <w:sz w:val="32"/>
          <w:szCs w:val="32"/>
        </w:rPr>
        <w:t>The mean/median survival time (in days) for the class 1 is: 948/622 Days</w:t>
      </w:r>
    </w:p>
    <w:p w14:paraId="204CAEE0" w14:textId="053D65BE" w:rsidR="0003636B" w:rsidRPr="00D852A2" w:rsidRDefault="0003636B" w:rsidP="0003636B">
      <w:pPr>
        <w:rPr>
          <w:sz w:val="32"/>
          <w:szCs w:val="32"/>
        </w:rPr>
      </w:pPr>
      <w:r>
        <w:rPr>
          <w:sz w:val="32"/>
          <w:szCs w:val="32"/>
        </w:rPr>
        <w:t>The mean/median survival time (in days) for the class 2 is: 678/416</w:t>
      </w:r>
      <w:r w:rsidR="000734E5">
        <w:rPr>
          <w:rFonts w:ascii="Segoe UI Symbol" w:hAnsi="Segoe UI Symbol"/>
          <w:sz w:val="32"/>
          <w:szCs w:val="32"/>
        </w:rPr>
        <w:t>☻</w:t>
      </w:r>
      <w:r>
        <w:rPr>
          <w:sz w:val="32"/>
          <w:szCs w:val="32"/>
        </w:rPr>
        <w:t xml:space="preserve"> Days</w:t>
      </w:r>
    </w:p>
    <w:p w14:paraId="04DB3E39" w14:textId="289E56BE" w:rsidR="0003636B" w:rsidRPr="00D852A2" w:rsidRDefault="0003636B">
      <w:pPr>
        <w:rPr>
          <w:sz w:val="32"/>
          <w:szCs w:val="32"/>
        </w:rPr>
      </w:pPr>
      <w:r>
        <w:rPr>
          <w:noProof/>
          <w:sz w:val="32"/>
          <w:szCs w:val="32"/>
        </w:rPr>
        <w:drawing>
          <wp:inline distT="0" distB="0" distL="0" distR="0" wp14:anchorId="5D727896" wp14:editId="40283638">
            <wp:extent cx="5943600" cy="525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5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sectPr w:rsidR="0003636B" w:rsidRPr="00D8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7C"/>
    <w:rsid w:val="0003636B"/>
    <w:rsid w:val="00052C8B"/>
    <w:rsid w:val="000734E5"/>
    <w:rsid w:val="000948AD"/>
    <w:rsid w:val="00117028"/>
    <w:rsid w:val="00401080"/>
    <w:rsid w:val="00467CF4"/>
    <w:rsid w:val="006275D6"/>
    <w:rsid w:val="006F0189"/>
    <w:rsid w:val="009A4213"/>
    <w:rsid w:val="00AD330A"/>
    <w:rsid w:val="00B4563B"/>
    <w:rsid w:val="00C01AE4"/>
    <w:rsid w:val="00CD7FAB"/>
    <w:rsid w:val="00D07D7C"/>
    <w:rsid w:val="00D85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BD76"/>
  <w15:chartTrackingRefBased/>
  <w15:docId w15:val="{2B79F7F1-7183-47CF-ABE6-29852CE8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Hongming</dc:creator>
  <cp:keywords/>
  <dc:description/>
  <cp:lastModifiedBy>Xu, Hongming</cp:lastModifiedBy>
  <cp:revision>15</cp:revision>
  <dcterms:created xsi:type="dcterms:W3CDTF">2019-08-19T16:58:00Z</dcterms:created>
  <dcterms:modified xsi:type="dcterms:W3CDTF">2019-08-28T13:20:00Z</dcterms:modified>
</cp:coreProperties>
</file>