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QWIM Dashboard — Demo &amp; User Guide</w:t>
      </w:r>
    </w:p>
    <w:p>
      <w:r>
        <w:t>This guide walks through the QWIM dashboard the way we present it to business partners: what each tab shows, the order to demo it in, and the talking points for the Goal Parity investment model. Screenshots are taken from the live dashboard.</w:t>
      </w:r>
    </w:p>
    <w:p>
      <w:pPr>
        <w:pStyle w:val="Heading1"/>
      </w:pPr>
      <w:r>
        <w:t>Suggested demo flow</w:t>
      </w:r>
    </w:p>
    <w:p>
      <w:pPr>
        <w:pStyle w:val="ListNumber"/>
      </w:pPr>
      <w:r>
        <w:t>Open on the Overview tab and state the value proposition in one line.</w:t>
      </w:r>
    </w:p>
    <w:p>
      <w:pPr>
        <w:pStyle w:val="ListNumber"/>
      </w:pPr>
      <w:r>
        <w:t>Show Clients: the advisor-entered profile that personalizes everything downstream.</w:t>
      </w:r>
    </w:p>
    <w:p>
      <w:pPr>
        <w:pStyle w:val="ListNumber"/>
      </w:pPr>
      <w:r>
        <w:t>Walk the Goal Parity tab left to right — it is a story in six steps.</w:t>
      </w:r>
    </w:p>
    <w:p>
      <w:pPr>
        <w:pStyle w:val="ListNumber"/>
      </w:pPr>
      <w:r>
        <w:t>Close with the Historical Backtest: out-of-sample evidence, then the Results tab.</w:t>
      </w:r>
    </w:p>
    <w:p>
      <w:pPr>
        <w:pStyle w:val="Heading1"/>
      </w:pPr>
      <w:r>
        <w:t>The main tabs</w:t>
      </w:r>
    </w:p>
    <w:p>
      <w:pPr>
        <w:pStyle w:val="Heading2"/>
      </w:pPr>
      <w:r>
        <w:t>Overview</w:t>
      </w:r>
    </w:p>
    <w:p>
      <w:r>
        <w:t>The executive summary — the one-slide version of the QWIM approach. Start the demo here and keep it short.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C757D"/>
          <w:sz w:val="18"/>
        </w:rPr>
        <w:t>The Overview tab.</w:t>
      </w:r>
    </w:p>
    <w:p>
      <w:pPr>
        <w:pStyle w:val="Heading2"/>
      </w:pPr>
      <w:r>
        <w:t>Setup</w:t>
      </w:r>
    </w:p>
    <w:p>
      <w:r>
        <w:t>Data sources, computation settings, and per-subtab console verbosity. In a partner demo you normally skip this tab; mention it exists so partners know configuration is centralized.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set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C757D"/>
          <w:sz w:val="18"/>
        </w:rPr>
        <w:t>The Setup tab.</w:t>
      </w:r>
    </w:p>
    <w:p>
      <w:pPr>
        <w:pStyle w:val="Heading2"/>
      </w:pPr>
      <w:r>
        <w:t>Clients</w:t>
      </w:r>
    </w:p>
    <w:p>
      <w:r>
        <w:t>The advisor enters the client's personal information, assets, income, and goals here. Emphasize that models downstream — including Goal Parity — read this profile automatically: enter the client once, and every analysis is personalized.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cl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C757D"/>
          <w:sz w:val="18"/>
        </w:rPr>
        <w:t>The Clients tab.</w:t>
      </w:r>
    </w:p>
    <w:p>
      <w:pPr>
        <w:pStyle w:val="Heading2"/>
      </w:pPr>
      <w:r>
        <w:t>Portfolios</w:t>
      </w:r>
    </w:p>
    <w:p>
      <w:r>
        <w:t>Classical portfolio construction and comparison tooling (analysis, optimizers, benchmarks). Useful to frame Goal Parity against: this is the conventional toolkit.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portfol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C757D"/>
          <w:sz w:val="18"/>
        </w:rPr>
        <w:t>The Portfolios tab.</w:t>
      </w:r>
    </w:p>
    <w:p>
      <w:pPr>
        <w:pStyle w:val="Heading2"/>
      </w:pPr>
      <w:r>
        <w:t>Products</w:t>
      </w:r>
    </w:p>
    <w:p>
      <w:r>
        <w:t>The investable product shelf backing the portfolios.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produc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C757D"/>
          <w:sz w:val="18"/>
        </w:rPr>
        <w:t>The Products tab.</w:t>
      </w:r>
    </w:p>
    <w:p>
      <w:pPr>
        <w:pStyle w:val="Heading2"/>
      </w:pPr>
      <w:r>
        <w:t>Results</w:t>
      </w:r>
    </w:p>
    <w:p>
      <w:r>
        <w:t>Simulations and consolidated outputs, and where the client PDF report is produced. End the demo here: everything shown on screen can be handed to the client as a document.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_resul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C757D"/>
          <w:sz w:val="18"/>
        </w:rPr>
        <w:t>The Results tab.</w:t>
      </w:r>
    </w:p>
    <w:p>
      <w:pPr>
        <w:pStyle w:val="Heading1"/>
      </w:pPr>
      <w:r>
        <w:t>The Goal Parity tab — step by step</w:t>
      </w:r>
    </w:p>
    <w:p>
      <w:r>
        <w:t>Goal Parity builds the portfolio around four client goals — Liquidity, Income, Preservation, and Growth — instead of a single market benchmark. Demo the subtabs left to right; each step feeds the next.</w:t>
      </w:r>
    </w:p>
    <w:p>
      <w:pPr>
        <w:pStyle w:val="Heading2"/>
      </w:pPr>
      <w:r>
        <w:t>Overview &amp; Guide</w:t>
      </w:r>
    </w:p>
    <w:p>
      <w:r>
        <w:t>The landing page: why goal-based investing holds up across market regimes, and the step-by-step usage guide. Partners can download this document from the button here.</w:t>
      </w:r>
    </w:p>
    <w:p>
      <w:r>
        <w:drawing>
          <wp:inline xmlns:a="http://schemas.openxmlformats.org/drawingml/2006/main" xmlns:pic="http://schemas.openxmlformats.org/drawingml/2006/picture">
            <wp:extent cx="5760720" cy="4800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_overview_guide_part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4800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_overview_guide_part12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0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720" cy="18202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_overview_guide_part24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0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C757D"/>
          <w:sz w:val="18"/>
        </w:rPr>
        <w:t>Goal Parity — Overview &amp; Guide.</w:t>
      </w:r>
    </w:p>
    <w:p>
      <w:pPr>
        <w:pStyle w:val="Heading2"/>
      </w:pPr>
      <w:r>
        <w:t>Investor Profile</w:t>
      </w:r>
    </w:p>
    <w:p>
      <w:r>
        <w:t>Step 1 — the client's risk comfort and horizon become the model's risk-aversion and loss barrier. Point out the 'Source:' line showing inputs flow in from the Clients tab.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_investor_prof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C757D"/>
          <w:sz w:val="18"/>
        </w:rPr>
        <w:t>Goal Parity — Investor Profile.</w:t>
      </w:r>
    </w:p>
    <w:p>
      <w:pPr>
        <w:pStyle w:val="Heading2"/>
      </w:pPr>
      <w:r>
        <w:t>4×4 Asset Map</w:t>
      </w:r>
    </w:p>
    <w:p>
      <w:r>
        <w:t>Steps 2–4 — every asset is scored on how it actually behaves toward each goal (option-style triggers, not static labels). The scatter places each asset between the four goal corners.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_4x4_asset_ma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C757D"/>
          <w:sz w:val="18"/>
        </w:rPr>
        <w:t>Goal Parity — 4×4 Asset Map.</w:t>
      </w:r>
    </w:p>
    <w:p>
      <w:pPr>
        <w:pStyle w:val="Heading2"/>
      </w:pPr>
      <w:r>
        <w:t>Strategic Optimization</w:t>
      </w:r>
    </w:p>
    <w:p>
      <w:r>
        <w:t>Step 5 — the optimizer balances the four goal powers (default: 25% each) or applies a deliberate tilt. Show the weights and goal-power bars; note the warnings the page surfaces when something needs advisor judgement.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_strategic_optimiz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C757D"/>
          <w:sz w:val="18"/>
        </w:rPr>
        <w:t>Goal Parity — Strategic Optimization.</w:t>
      </w:r>
    </w:p>
    <w:p>
      <w:pPr>
        <w:pStyle w:val="Heading2"/>
      </w:pPr>
      <w:r>
        <w:t>Tactical Rebalancing</w:t>
      </w:r>
    </w:p>
    <w:p>
      <w:r>
        <w:t>Step 6 — a simulated market drift and the cost-aware trades that restore the goal balance. Emphasize the turnover budget: the model will not churn the portfolio.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_tactical_rebalancing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C757D"/>
          <w:sz w:val="18"/>
        </w:rPr>
        <w:t>Goal Parity — Tactical Rebalancing.</w:t>
      </w:r>
    </w:p>
    <w:p>
      <w:pPr>
        <w:pStyle w:val="Heading2"/>
      </w:pPr>
      <w:r>
        <w:t>Historical Backtest</w:t>
      </w:r>
    </w:p>
    <w:p>
      <w:r>
        <w:t>The evidence: a walk-forward replay with no look-ahead — the model is re-trained on past data only at every step. The user chooses the date range, training window, test window, and step size, then runs it live.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_historical_backte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C757D"/>
          <w:sz w:val="18"/>
        </w:rPr>
        <w:t>Goal Parity — Historical Backtest.</w:t>
      </w:r>
    </w:p>
    <w:p>
      <w:pPr>
        <w:pStyle w:val="Heading2"/>
      </w:pPr>
      <w:r>
        <w:t>Backtest results (live run)</w:t>
      </w:r>
    </w:p>
    <w:p>
      <w:r>
        <w:t>A completed run with the default settings (3-year training window, 6-month step). The talking point: Goal Parity targets smaller drawdowns and lower volatility than the 60/40 benchmark — it gives up some upside in strong bull markets in exchange for a smoother ride through stress periods. It is not trying to beat the benchmark's raw return.</w:t>
      </w:r>
    </w:p>
    <w:p>
      <w:r>
        <w:drawing>
          <wp:inline xmlns:a="http://schemas.openxmlformats.org/drawingml/2006/main" xmlns:pic="http://schemas.openxmlformats.org/drawingml/2006/picture">
            <wp:extent cx="5760720" cy="36004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p_historical_backtest_resul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color w:val="6C757D"/>
          <w:sz w:val="18"/>
        </w:rPr>
        <w:t>Historical Backtest after a completed run: out-of-sample equity curves and side-by-side performance metrics.</w:t>
      </w:r>
    </w:p>
    <w:p>
      <w:pPr>
        <w:pStyle w:val="Heading1"/>
      </w:pPr>
      <w:r>
        <w:t>Practical notes for presenters</w:t>
      </w:r>
    </w:p>
    <w:p>
      <w:pPr>
        <w:pStyle w:val="ListBullet"/>
      </w:pPr>
      <w:r>
        <w:t>Warning banners are features, not bugs: solver-failure and scarce-goal notes tell the advisor when judgement is needed — demo one deliberately if asked about model limits.</w:t>
      </w:r>
    </w:p>
    <w:p>
      <w:pPr>
        <w:pStyle w:val="ListBullet"/>
      </w:pPr>
      <w:r>
        <w:t>Backtest guardrails reject impossible window configurations and warn on training windows under ~2.5 years.</w:t>
      </w:r>
    </w:p>
    <w:p>
      <w:pPr>
        <w:pStyle w:val="ListBullet"/>
      </w:pPr>
      <w:r>
        <w:t>All figures are illustrative and do not constitute investment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