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4"/>
        </w:rPr>
        <w:t>QWIM Dashboard — Demo &amp; User Guide</w:t>
      </w:r>
    </w:p>
    <w:p>
      <w:r>
        <w:t>This guide walks through the QWIM dashboard the way we present it to business partners: what each tab shows, the order to demo it in, and the talking points for the Goal Parity investment model. Screenshots are taken from the live dashboard.</w:t>
      </w:r>
    </w:p>
    <w:p>
      <w:pPr>
        <w:pStyle w:val="Heading1"/>
      </w:pPr>
      <w:r>
        <w:t>Suggested demo flow</w:t>
      </w:r>
    </w:p>
    <w:p>
      <w:pPr>
        <w:pStyle w:val="ListNumber"/>
      </w:pPr>
      <w:r>
        <w:t>Open on the Overview tab and state the value proposition in one line.</w:t>
      </w:r>
    </w:p>
    <w:p>
      <w:pPr>
        <w:pStyle w:val="ListNumber"/>
      </w:pPr>
      <w:r>
        <w:t>Show Clients: the advisor-entered profile that personalizes everything downstream.</w:t>
      </w:r>
    </w:p>
    <w:p>
      <w:pPr>
        <w:pStyle w:val="ListNumber"/>
      </w:pPr>
      <w:r>
        <w:t>Walk the Goal Parity tab left to right — it is a story in six steps.</w:t>
      </w:r>
    </w:p>
    <w:p>
      <w:pPr>
        <w:pStyle w:val="ListNumber"/>
      </w:pPr>
      <w:r>
        <w:t>Close with the Historical Backtest: out-of-sample evidence, then the Results tab.</w:t>
      </w:r>
    </w:p>
    <w:p>
      <w:pPr>
        <w:pStyle w:val="Heading1"/>
      </w:pPr>
      <w:r>
        <w:t>The main tabs</w:t>
      </w:r>
    </w:p>
    <w:p>
      <w:pPr>
        <w:pStyle w:val="Heading2"/>
      </w:pPr>
      <w:r>
        <w:t>Overview</w:t>
      </w:r>
    </w:p>
    <w:p>
      <w:r>
        <w:t>The executive summary — the one-slide version of the QWIM approach. Start the demo here and keep it short.</w:t>
      </w:r>
    </w:p>
    <w:p>
      <w:r>
        <w:drawing>
          <wp:inline xmlns:a="http://schemas.openxmlformats.org/drawingml/2006/main" xmlns:pic="http://schemas.openxmlformats.org/drawingml/2006/picture">
            <wp:extent cx="5760720" cy="3600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_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C757D"/>
          <w:sz w:val="18"/>
        </w:rPr>
        <w:t>The Overview tab.</w:t>
      </w:r>
    </w:p>
    <w:p>
      <w:pPr>
        <w:pStyle w:val="Heading2"/>
      </w:pPr>
      <w:r>
        <w:t>Setup</w:t>
      </w:r>
    </w:p>
    <w:p>
      <w:r>
        <w:t>Data sources, computation settings, and per-subtab console verbosity. In a partner demo you normally skip this tab; mention it exists so partners know configuration is centralized.</w:t>
      </w:r>
    </w:p>
    <w:p>
      <w:r>
        <w:drawing>
          <wp:inline xmlns:a="http://schemas.openxmlformats.org/drawingml/2006/main" xmlns:pic="http://schemas.openxmlformats.org/drawingml/2006/picture">
            <wp:extent cx="5760720" cy="36004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_setu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C757D"/>
          <w:sz w:val="18"/>
        </w:rPr>
        <w:t>The Setup tab.</w:t>
      </w:r>
    </w:p>
    <w:p>
      <w:pPr>
        <w:pStyle w:val="Heading2"/>
      </w:pPr>
      <w:r>
        <w:t>Clients</w:t>
      </w:r>
    </w:p>
    <w:p>
      <w:r>
        <w:t>The advisor enters the client's personal information, assets, income, and goals here. Emphasize that models downstream — including Goal Parity — read this profile automatically: enter the client once, and every analysis is personalized.</w:t>
      </w:r>
    </w:p>
    <w:p>
      <w:r>
        <w:drawing>
          <wp:inline xmlns:a="http://schemas.openxmlformats.org/drawingml/2006/main" xmlns:pic="http://schemas.openxmlformats.org/drawingml/2006/picture">
            <wp:extent cx="5760720" cy="36004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_clien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C757D"/>
          <w:sz w:val="18"/>
        </w:rPr>
        <w:t>The Clients tab.</w:t>
      </w:r>
    </w:p>
    <w:p>
      <w:pPr>
        <w:pStyle w:val="Heading2"/>
      </w:pPr>
      <w:r>
        <w:t>Portfolios</w:t>
      </w:r>
    </w:p>
    <w:p>
      <w:r>
        <w:t>Classical portfolio construction and comparison tooling (analysis, optimizers, benchmarks). Useful to frame Goal Parity against: this is the conventional toolkit.</w:t>
      </w:r>
    </w:p>
    <w:p>
      <w:r>
        <w:drawing>
          <wp:inline xmlns:a="http://schemas.openxmlformats.org/drawingml/2006/main" xmlns:pic="http://schemas.openxmlformats.org/drawingml/2006/picture">
            <wp:extent cx="5760720" cy="36004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_portfolio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C757D"/>
          <w:sz w:val="18"/>
        </w:rPr>
        <w:t>The Portfolios tab.</w:t>
      </w:r>
    </w:p>
    <w:p>
      <w:pPr>
        <w:pStyle w:val="Heading2"/>
      </w:pPr>
      <w:r>
        <w:t>Products</w:t>
      </w:r>
    </w:p>
    <w:p>
      <w:r>
        <w:t>The investable product shelf backing the portfolios.</w:t>
      </w:r>
    </w:p>
    <w:p>
      <w:r>
        <w:drawing>
          <wp:inline xmlns:a="http://schemas.openxmlformats.org/drawingml/2006/main" xmlns:pic="http://schemas.openxmlformats.org/drawingml/2006/picture">
            <wp:extent cx="5760720" cy="36004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_produc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C757D"/>
          <w:sz w:val="18"/>
        </w:rPr>
        <w:t>The Products tab.</w:t>
      </w:r>
    </w:p>
    <w:p>
      <w:pPr>
        <w:pStyle w:val="Heading2"/>
      </w:pPr>
      <w:r>
        <w:t>Results</w:t>
      </w:r>
    </w:p>
    <w:p>
      <w:r>
        <w:t>Simulations and consolidated outputs, and where the client PDF report is produced. End the demo here: everything shown on screen can be handed to the client as a document.</w:t>
      </w:r>
    </w:p>
    <w:p>
      <w:r>
        <w:drawing>
          <wp:inline xmlns:a="http://schemas.openxmlformats.org/drawingml/2006/main" xmlns:pic="http://schemas.openxmlformats.org/drawingml/2006/picture">
            <wp:extent cx="5760720" cy="36004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_resul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C757D"/>
          <w:sz w:val="18"/>
        </w:rPr>
        <w:t>The Results tab.</w:t>
      </w:r>
    </w:p>
    <w:p>
      <w:pPr>
        <w:pStyle w:val="Heading1"/>
      </w:pPr>
      <w:r>
        <w:t>The Goal Parity tab — step by step</w:t>
      </w:r>
    </w:p>
    <w:p>
      <w:r>
        <w:t>Goal Parity builds the portfolio around four client goals — Liquidity, Income, Preservation, and Growth — instead of a single market benchmark. Demo the subtabs left to right; each step feeds the next.</w:t>
      </w:r>
    </w:p>
    <w:p>
      <w:pPr>
        <w:pStyle w:val="Heading2"/>
      </w:pPr>
      <w:r>
        <w:t>Overview &amp; Guide</w:t>
      </w:r>
    </w:p>
    <w:p>
      <w:r>
        <w:t>The landing page: why goal-based investing holds up across market regimes, and the step-by-step usage guide. This document can be downloaded from the button here.</w:t>
      </w:r>
    </w:p>
    <w:p>
      <w:r>
        <w:drawing>
          <wp:inline xmlns:a="http://schemas.openxmlformats.org/drawingml/2006/main" xmlns:pic="http://schemas.openxmlformats.org/drawingml/2006/picture">
            <wp:extent cx="5760720" cy="4800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_overview_guide_part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760720" cy="48006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_overview_guide_part120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760720" cy="182022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_overview_guide_part240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20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C757D"/>
          <w:sz w:val="18"/>
        </w:rPr>
        <w:t>Goal Parity — Overview &amp; Guide.</w:t>
      </w:r>
    </w:p>
    <w:p>
      <w:r>
        <w:rPr>
          <w:b/>
        </w:rPr>
        <w:t>How to use this page:</w:t>
      </w:r>
    </w:p>
    <w:p>
      <w:pPr>
        <w:pStyle w:val="ListBullet"/>
      </w:pPr>
      <w:r>
        <w:t>Read the five advantage cards first — they are the 'why' behind everything that follows.</w:t>
      </w:r>
    </w:p>
    <w:p>
      <w:pPr>
        <w:pStyle w:val="ListBullet"/>
      </w:pPr>
      <w:r>
        <w:t>The numbered stepper below them mirrors the subtabs to the right; use it as your checklist while working through them.</w:t>
      </w:r>
    </w:p>
    <w:p>
      <w:pPr>
        <w:pStyle w:val="ListBullet"/>
      </w:pPr>
      <w:r>
        <w:t>Skim the amber 'Common mistakes' box before starting — it covers the errors that most often lead to misleading results.</w:t>
      </w:r>
    </w:p>
    <w:p>
      <w:pPr>
        <w:pStyle w:val="Heading2"/>
      </w:pPr>
      <w:r>
        <w:t>Investor Profile</w:t>
      </w:r>
    </w:p>
    <w:p>
      <w:r>
        <w:t>Step 1 — tell the model who you are. The client's risk comfort and time horizon become the model's risk-aversion parameter and personal loss barrier.</w:t>
      </w:r>
    </w:p>
    <w:p>
      <w:r>
        <w:drawing>
          <wp:inline xmlns:a="http://schemas.openxmlformats.org/drawingml/2006/main" xmlns:pic="http://schemas.openxmlformats.org/drawingml/2006/picture">
            <wp:extent cx="5760720" cy="36004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_investor_profi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C757D"/>
          <w:sz w:val="18"/>
        </w:rPr>
        <w:t>Goal Parity — Investor Profile.</w:t>
      </w:r>
    </w:p>
    <w:p>
      <w:r>
        <w:rPr>
          <w:b/>
        </w:rPr>
        <w:t>How to use this page:</w:t>
      </w:r>
    </w:p>
    <w:p>
      <w:pPr>
        <w:pStyle w:val="ListBullet"/>
      </w:pPr>
      <w:r>
        <w:t>If your advisor has filled in the Clients tab, leave 'Use Clients tab inputs' checked — your horizon and risk profile flow in automatically; nothing else to do.</w:t>
      </w:r>
    </w:p>
    <w:p>
      <w:pPr>
        <w:pStyle w:val="ListBullet"/>
      </w:pPr>
      <w:r>
        <w:t>Otherwise, uncheck the box and set three sidebar inputs:</w:t>
      </w:r>
    </w:p>
    <w:p>
      <w:pPr>
        <w:pStyle w:val="ListBullet2"/>
      </w:pPr>
      <w:r>
        <w:t>Risk profile — from Conservative to Aggressive; when unsure, start with Moderate.</w:t>
      </w:r>
    </w:p>
    <w:p>
      <w:pPr>
        <w:pStyle w:val="ListBullet2"/>
      </w:pPr>
      <w:r>
        <w:t>Strategic horizon T — years until the money is needed (e.g. years to retirement). Use the real timeline: a too-short horizon makes the portfolio overly cautious.</w:t>
      </w:r>
    </w:p>
    <w:p>
      <w:pPr>
        <w:pStyle w:val="ListBullet2"/>
      </w:pPr>
      <w:r>
        <w:t>Rebalancing frequency τ — how often the portfolio is reviewed. Semi-annual is the recommended default.</w:t>
      </w:r>
    </w:p>
    <w:p>
      <w:pPr>
        <w:pStyle w:val="ListBullet"/>
      </w:pPr>
      <w:r>
        <w:t>Before moving on, check two things on the right:</w:t>
      </w:r>
    </w:p>
    <w:p>
      <w:pPr>
        <w:pStyle w:val="ListBullet2"/>
      </w:pPr>
      <w:r>
        <w:t>The table's 'loss tolerance' row — the decline you could accept before changing course. If it feels wrong, adjust the risk profile.</w:t>
      </w:r>
    </w:p>
    <w:p>
      <w:pPr>
        <w:pStyle w:val="ListBullet2"/>
      </w:pPr>
      <w:r>
        <w:t>The 'Source:' line — it says whether inputs came from the Clients tab or the sidebar. If it says Clients tab but that tab is empty or stale, uncheck the box and enter values manually.</w:t>
      </w:r>
    </w:p>
    <w:p>
      <w:pPr>
        <w:pStyle w:val="Heading2"/>
      </w:pPr>
      <w:r>
        <w:t>4×4 Asset Map</w:t>
      </w:r>
    </w:p>
    <w:p>
      <w:r>
        <w:t>Steps 2–4 — choose what the model can invest in. Every asset is scored on how it actually behaves toward each goal (option-style triggers, not static labels), and the scatter places each asset between the four goal corners.</w:t>
      </w:r>
    </w:p>
    <w:p>
      <w:r>
        <w:drawing>
          <wp:inline xmlns:a="http://schemas.openxmlformats.org/drawingml/2006/main" xmlns:pic="http://schemas.openxmlformats.org/drawingml/2006/picture">
            <wp:extent cx="5760720" cy="36004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_4x4_asset_ma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C757D"/>
          <w:sz w:val="18"/>
        </w:rPr>
        <w:t>Goal Parity — 4×4 Asset Map.</w:t>
      </w:r>
    </w:p>
    <w:p>
      <w:r>
        <w:rPr>
          <w:b/>
        </w:rPr>
        <w:t>How to use this page:</w:t>
      </w:r>
    </w:p>
    <w:p>
      <w:pPr>
        <w:pStyle w:val="ListBullet"/>
      </w:pPr>
      <w:r>
        <w:t>Tick the checkboxes for the investments to consider; keeping the full default list selected is a good starting point.</w:t>
      </w:r>
    </w:p>
    <w:p>
      <w:pPr>
        <w:pStyle w:val="ListBullet"/>
      </w:pPr>
      <w:r>
        <w:t>One asset can serve several goals at once (e.g. part Income, part Preservation) — hover the scatter points to see each asset's split.</w:t>
      </w:r>
    </w:p>
    <w:p>
      <w:pPr>
        <w:pStyle w:val="ListBullet"/>
      </w:pPr>
      <w:r>
        <w:t>Keep the universe broad: every goal needs at least a few supporting assets. If a later step flags a goal as 'structurally scarce', return here and re-add tickers rather than fighting the optimizer.</w:t>
      </w:r>
    </w:p>
    <w:p>
      <w:pPr>
        <w:pStyle w:val="Heading2"/>
      </w:pPr>
      <w:r>
        <w:t>Strategic Optimization</w:t>
      </w:r>
    </w:p>
    <w:p>
      <w:r>
        <w:t>Step 5 — build the target portfolio. The optimizer balances the four goal powers (default: 25% each) or applies a deliberate tilt toward one goal.</w:t>
      </w:r>
    </w:p>
    <w:p>
      <w:r>
        <w:drawing>
          <wp:inline xmlns:a="http://schemas.openxmlformats.org/drawingml/2006/main" xmlns:pic="http://schemas.openxmlformats.org/drawingml/2006/picture">
            <wp:extent cx="5760720" cy="36004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_strategic_optimizat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C757D"/>
          <w:sz w:val="18"/>
        </w:rPr>
        <w:t>Goal Parity — Strategic Optimization.</w:t>
      </w:r>
    </w:p>
    <w:p>
      <w:r>
        <w:rPr>
          <w:b/>
        </w:rPr>
        <w:t>How to use this page:</w:t>
      </w:r>
    </w:p>
    <w:p>
      <w:pPr>
        <w:pStyle w:val="ListBullet"/>
      </w:pPr>
      <w:r>
        <w:t>Start with Goal Parity Balanced (the default) — for most clients this is the recommended portfolio.</w:t>
      </w:r>
    </w:p>
    <w:p>
      <w:pPr>
        <w:pStyle w:val="ListBullet"/>
      </w:pPr>
      <w:r>
        <w:t>Choose Goal Tilted only to deliberately favor one goal (more Growth for a young saver, more Income near retirement):</w:t>
      </w:r>
    </w:p>
    <w:p>
      <w:pPr>
        <w:pStyle w:val="ListBullet2"/>
      </w:pPr>
      <w:r>
        <w:t>Pick the goal, then set the tilt-strength slider — small tilts (10–30%) are usually enough.</w:t>
      </w:r>
    </w:p>
    <w:p>
      <w:pPr>
        <w:pStyle w:val="ListBullet2"/>
      </w:pPr>
      <w:r>
        <w:t>A tilt shifts priorities between goals; it is NOT a 'more return' dial. Maximum tilt concentrates the portfolio and gives up diversification.</w:t>
      </w:r>
    </w:p>
    <w:p>
      <w:pPr>
        <w:pStyle w:val="ListBullet"/>
      </w:pPr>
      <w:r>
        <w:t>Read any warning banners before trusting the numbers:</w:t>
      </w:r>
    </w:p>
    <w:p>
      <w:pPr>
        <w:pStyle w:val="ListBullet2"/>
      </w:pPr>
      <w:r>
        <w:t>'Solver failure' — the shown weights are a best effort; confirm with your advisor before acting.</w:t>
      </w:r>
    </w:p>
    <w:p>
      <w:pPr>
        <w:pStyle w:val="ListBullet2"/>
      </w:pPr>
      <w:r>
        <w:t>'Structurally scarce goal' — the chosen investments cannot support that goal much further; fix it in Step 2, not here.</w:t>
      </w:r>
    </w:p>
    <w:p>
      <w:pPr>
        <w:pStyle w:val="Heading2"/>
      </w:pPr>
      <w:r>
        <w:t>Tactical Rebalancing</w:t>
      </w:r>
    </w:p>
    <w:p>
      <w:r>
        <w:t>Step 6 — see how the portfolio stays on track. This page is a simulation: markets drift the portfolio away from its targets, and the model shows the cost-aware trades that restore the goal balance.</w:t>
      </w:r>
    </w:p>
    <w:p>
      <w:r>
        <w:drawing>
          <wp:inline xmlns:a="http://schemas.openxmlformats.org/drawingml/2006/main" xmlns:pic="http://schemas.openxmlformats.org/drawingml/2006/picture">
            <wp:extent cx="5760720" cy="36004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_tactical_rebalancing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C757D"/>
          <w:sz w:val="18"/>
        </w:rPr>
        <w:t>Goal Parity — Tactical Rebalancing.</w:t>
      </w:r>
    </w:p>
    <w:p>
      <w:r>
        <w:rPr>
          <w:b/>
        </w:rPr>
        <w:t>How to use this page:</w:t>
      </w:r>
    </w:p>
    <w:p>
      <w:pPr>
        <w:pStyle w:val="ListBullet"/>
      </w:pPr>
      <w:r>
        <w:t>Two controls: the σ slider sets how large the simulated market move is; the seed picks which random scenario is shown.</w:t>
      </w:r>
    </w:p>
    <w:p>
      <w:pPr>
        <w:pStyle w:val="ListBullet"/>
      </w:pPr>
      <w:r>
        <w:t>Read the results top to bottom:</w:t>
      </w:r>
    </w:p>
    <w:p>
      <w:pPr>
        <w:pStyle w:val="ListBullet2"/>
      </w:pPr>
      <w:r>
        <w:t>The summary line — number of trades and portfolio turnover (capped by design: the model will not churn everything).</w:t>
      </w:r>
    </w:p>
    <w:p>
      <w:pPr>
        <w:pStyle w:val="ListBullet2"/>
      </w:pPr>
      <w:r>
        <w:t>The bar chart — goal support drifted → after rebalance → target; bars should move back toward the target.</w:t>
      </w:r>
    </w:p>
    <w:p>
      <w:pPr>
        <w:pStyle w:val="ListBullet2"/>
      </w:pPr>
      <w:r>
        <w:t>The trade table — each row is one sell/buy pair, ranked so the most goal-restoring, lowest-cost trades come first.</w:t>
      </w:r>
    </w:p>
    <w:p>
      <w:pPr>
        <w:pStyle w:val="ListBullet"/>
      </w:pPr>
      <w:r>
        <w:t>Different seeds give different trades — that is expected: each seed is a different market scenario, not a different answer to the same question.</w:t>
      </w:r>
    </w:p>
    <w:p>
      <w:pPr>
        <w:pStyle w:val="Heading2"/>
      </w:pPr>
      <w:r>
        <w:t>Historical Backtest</w:t>
      </w:r>
    </w:p>
    <w:p>
      <w:r>
        <w:t>The evidence — a walk-forward replay with no look-ahead: the model is re-trained on past data only at every step, its portfolio is held for one step, and realized results accumulate next to a classic 60/40 benchmark.</w:t>
      </w:r>
    </w:p>
    <w:p>
      <w:r>
        <w:drawing>
          <wp:inline xmlns:a="http://schemas.openxmlformats.org/drawingml/2006/main" xmlns:pic="http://schemas.openxmlformats.org/drawingml/2006/picture">
            <wp:extent cx="5760720" cy="360045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_historical_backtes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C757D"/>
          <w:sz w:val="18"/>
        </w:rPr>
        <w:t>Goal Parity — Historical Backtest.</w:t>
      </w:r>
    </w:p>
    <w:p>
      <w:r>
        <w:rPr>
          <w:b/>
        </w:rPr>
        <w:t>How to use this page:</w:t>
      </w:r>
    </w:p>
    <w:p>
      <w:pPr>
        <w:pStyle w:val="ListBullet"/>
      </w:pPr>
      <w:r>
        <w:t>Four sidebar settings (the defaults are sensible — start there):</w:t>
      </w:r>
    </w:p>
    <w:p>
      <w:pPr>
        <w:pStyle w:val="ListBullet2"/>
      </w:pPr>
      <w:r>
        <w:t>Backtest date range — which slice of history to replay.</w:t>
      </w:r>
    </w:p>
    <w:p>
      <w:pPr>
        <w:pStyle w:val="ListBullet2"/>
      </w:pPr>
      <w:r>
        <w:t>Training window — years of past data the model learns from at each step; keep it at 2.5 years or more, shorter windows trigger a noise warning.</w:t>
      </w:r>
    </w:p>
    <w:p>
      <w:pPr>
        <w:pStyle w:val="ListBullet2"/>
      </w:pPr>
      <w:r>
        <w:t>Test window — the horizon each fold's performance is measured over in the fold table.</w:t>
      </w:r>
    </w:p>
    <w:p>
      <w:pPr>
        <w:pStyle w:val="ListBullet2"/>
      </w:pPr>
      <w:r>
        <w:t>Step size — how often the model re-trains and rebalances; leave it equal to the review frequency τ unless there is a reason not to.</w:t>
      </w:r>
    </w:p>
    <w:p>
      <w:pPr>
        <w:pStyle w:val="ListBullet"/>
      </w:pPr>
      <w:r>
        <w:t>Click 'Run backtest' and read the results top to bottom:</w:t>
      </w:r>
    </w:p>
    <w:p>
      <w:pPr>
        <w:pStyle w:val="ListBullet2"/>
      </w:pPr>
      <w:r>
        <w:t>The chart — growth of $1 for the model vs. the benchmark; dotted vertical lines mark re-training dates.</w:t>
      </w:r>
    </w:p>
    <w:p>
      <w:pPr>
        <w:pStyle w:val="ListBullet2"/>
      </w:pPr>
      <w:r>
        <w:t>The metrics table — return, volatility, Sharpe ratio, and max drawdown side by side.</w:t>
      </w:r>
    </w:p>
    <w:p>
      <w:pPr>
        <w:pStyle w:val="ListBullet2"/>
      </w:pPr>
      <w:r>
        <w:t>The fold table — per-period results, showing when the model helped (stress periods) and when it lagged (strong bull runs).</w:t>
      </w:r>
    </w:p>
    <w:p>
      <w:pPr>
        <w:pStyle w:val="ListBullet"/>
      </w:pPr>
      <w:r>
        <w:t>A red message means the configuration is impossible (e.g. the date range is too short for the training window) — shrink the training window or widen the dates.</w:t>
      </w:r>
    </w:p>
    <w:p>
      <w:pPr>
        <w:pStyle w:val="Heading2"/>
      </w:pPr>
      <w:r>
        <w:t>Common mistakes to avoid</w:t>
      </w:r>
    </w:p>
    <w:p>
      <w:pPr>
        <w:pStyle w:val="ListBullet"/>
      </w:pPr>
      <w:r>
        <w:t>Jumping straight to Optimization or Rebalancing — the results then reflect the default Moderate profile, not the client's.</w:t>
      </w:r>
    </w:p>
    <w:p>
      <w:pPr>
        <w:pStyle w:val="ListBullet"/>
      </w:pPr>
      <w:r>
        <w:t>Leaving 'Use Clients tab inputs' checked when the Clients tab is empty or stale — always check the 'Source:' line in Step 1.</w:t>
      </w:r>
    </w:p>
    <w:p>
      <w:pPr>
        <w:pStyle w:val="ListBullet"/>
      </w:pPr>
      <w:r>
        <w:t>Setting a horizon shorter than the client's actual timeline, which understates how much Growth the plan can safely carry.</w:t>
      </w:r>
    </w:p>
    <w:p>
      <w:pPr>
        <w:pStyle w:val="ListBullet"/>
      </w:pPr>
      <w:r>
        <w:t>Ignoring the solver-failure or scarce-goal warnings in Step 3 — they qualify every number shown downstream.</w:t>
      </w:r>
    </w:p>
    <w:p>
      <w:pPr>
        <w:pStyle w:val="ListBullet"/>
      </w:pPr>
      <w:r>
        <w:t>Comparing rebalancing trades across different drift seeds and concluding the model is unstable — each seed is a different scenario.</w:t>
      </w:r>
    </w:p>
    <w:p>
      <w:pPr>
        <w:pStyle w:val="Heading2"/>
      </w:pPr>
      <w:r>
        <w:t>Backtest results (live run)</w:t>
      </w:r>
    </w:p>
    <w:p>
      <w:r>
        <w:t>A completed run with the default settings (3-year training window, 6-month step). The talking point: Goal Parity targets smaller drawdowns and lower volatility than the 60/40 benchmark — it gives up some upside in strong bull markets in exchange for a smoother ride through stress periods. It is not trying to beat the benchmark's raw return.</w:t>
      </w:r>
    </w:p>
    <w:p>
      <w:r>
        <w:drawing>
          <wp:inline xmlns:a="http://schemas.openxmlformats.org/drawingml/2006/main" xmlns:pic="http://schemas.openxmlformats.org/drawingml/2006/picture">
            <wp:extent cx="5760720" cy="360045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_historical_backtest_result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C757D"/>
          <w:sz w:val="18"/>
        </w:rPr>
        <w:t>Historical Backtest after a completed run: out-of-sample equity curves and side-by-side performance metrics.</w:t>
      </w:r>
    </w:p>
    <w:p>
      <w:pPr>
        <w:pStyle w:val="Heading1"/>
      </w:pPr>
      <w:r>
        <w:t>Practical notes for presenters</w:t>
      </w:r>
    </w:p>
    <w:p>
      <w:pPr>
        <w:pStyle w:val="ListBullet"/>
      </w:pPr>
      <w:r>
        <w:t>Warning banners are features, not bugs: solver-failure and scarce-goal notes tell the advisor when judgement is needed — demo one deliberately if asked about model limits.</w:t>
      </w:r>
    </w:p>
    <w:p>
      <w:pPr>
        <w:pStyle w:val="ListBullet"/>
      </w:pPr>
      <w:r>
        <w:t>Backtest guardrails reject impossible window configurations and warn on training windows under ~2.5 years.</w:t>
      </w:r>
    </w:p>
    <w:p>
      <w:pPr>
        <w:pStyle w:val="ListBullet"/>
      </w:pPr>
      <w:r>
        <w:t>All figures are illustrative and do not constitute investment advice.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