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2B" w:rsidRDefault="00F973D6">
      <w:r>
        <w:t>50Gy in 5 fractions lung.</w:t>
      </w:r>
    </w:p>
    <w:p w:rsidR="00CA7E30" w:rsidRDefault="00CA7E30">
      <w:r>
        <w:t xml:space="preserve">Watch tumor movement to decide if gating for lung or free breathing. Ct </w:t>
      </w:r>
      <w:proofErr w:type="spellStart"/>
      <w:r>
        <w:t>ave</w:t>
      </w:r>
      <w:proofErr w:type="spellEnd"/>
      <w:r>
        <w:t xml:space="preserve"> versus </w:t>
      </w:r>
      <w:proofErr w:type="spellStart"/>
      <w:r>
        <w:t>mip</w:t>
      </w:r>
      <w:proofErr w:type="spellEnd"/>
      <w:r>
        <w:t>.</w:t>
      </w:r>
    </w:p>
    <w:p w:rsidR="00933845" w:rsidRDefault="00933845">
      <w:r>
        <w:t>50% at 2cm sheet (lung SBRT)</w:t>
      </w:r>
    </w:p>
    <w:p w:rsidR="00933845" w:rsidRDefault="00933845">
      <w:r>
        <w:t>Lung SBRT sheet</w:t>
      </w:r>
      <w:r w:rsidR="00E95727">
        <w:t>/dosimetry/LU002</w:t>
      </w:r>
      <w:r w:rsidR="00F456F3">
        <w:t>, 50% at 2cm if true lung old RTOG</w:t>
      </w:r>
    </w:p>
    <w:p w:rsidR="00D84CE2" w:rsidRDefault="00D84CE2"/>
    <w:p w:rsidR="00E95727" w:rsidRDefault="00E95727">
      <w:r w:rsidRPr="00E95727">
        <w:rPr>
          <w:highlight w:val="yellow"/>
        </w:rPr>
        <w:t>Spinal cord</w:t>
      </w:r>
    </w:p>
    <w:p w:rsidR="00E95727" w:rsidRDefault="00E95727">
      <w:proofErr w:type="spellStart"/>
      <w:r>
        <w:t>Dmax</w:t>
      </w:r>
      <w:proofErr w:type="spellEnd"/>
      <w:r>
        <w:t xml:space="preserve"> &lt;20Gy</w:t>
      </w:r>
    </w:p>
    <w:p w:rsidR="00E95727" w:rsidRDefault="00E95727"/>
    <w:p w:rsidR="00F973D6" w:rsidRDefault="00F973D6">
      <w:r w:rsidRPr="00C321A8">
        <w:rPr>
          <w:highlight w:val="yellow"/>
        </w:rPr>
        <w:t>Total lung</w:t>
      </w:r>
    </w:p>
    <w:p w:rsidR="00F973D6" w:rsidRDefault="00F973D6">
      <w:r>
        <w:t>V30&lt;7%</w:t>
      </w:r>
    </w:p>
    <w:p w:rsidR="0008171B" w:rsidRDefault="00F973D6">
      <w:r>
        <w:t>Mean lung dose &lt;6Gy</w:t>
      </w:r>
    </w:p>
    <w:p w:rsidR="00F973D6" w:rsidRDefault="00F973D6">
      <w:r>
        <w:t>V5&lt;30%</w:t>
      </w:r>
    </w:p>
    <w:p w:rsidR="00F973D6" w:rsidRDefault="00F973D6">
      <w:r>
        <w:t>V10&lt;17%</w:t>
      </w:r>
    </w:p>
    <w:p w:rsidR="008C025F" w:rsidRDefault="008C025F">
      <w:r>
        <w:t xml:space="preserve">V15 lung </w:t>
      </w:r>
      <w:r w:rsidR="00D84CE2">
        <w:t>&lt;35%</w:t>
      </w:r>
    </w:p>
    <w:p w:rsidR="00F973D6" w:rsidRDefault="00F973D6">
      <w:r>
        <w:t>V20&lt;12%</w:t>
      </w:r>
    </w:p>
    <w:p w:rsidR="00D84CE2" w:rsidRDefault="00D84CE2"/>
    <w:p w:rsidR="00F973D6" w:rsidRDefault="00F973D6">
      <w:r w:rsidRPr="001E0F71">
        <w:rPr>
          <w:highlight w:val="yellow"/>
        </w:rPr>
        <w:t>Ipsilateral lung</w:t>
      </w:r>
      <w:r>
        <w:t xml:space="preserve"> </w:t>
      </w:r>
    </w:p>
    <w:p w:rsidR="00F973D6" w:rsidRDefault="00F973D6">
      <w:r>
        <w:t>v30&lt;15%</w:t>
      </w:r>
    </w:p>
    <w:p w:rsidR="00D84CE2" w:rsidRDefault="00D84CE2">
      <w:r>
        <w:t>V15&lt;35%</w:t>
      </w:r>
    </w:p>
    <w:p w:rsidR="00F973D6" w:rsidRDefault="00F973D6">
      <w:r>
        <w:t>v10&lt;35%</w:t>
      </w:r>
    </w:p>
    <w:p w:rsidR="00F973D6" w:rsidRDefault="00F973D6">
      <w:r>
        <w:t>v20&lt;25%</w:t>
      </w:r>
    </w:p>
    <w:p w:rsidR="00D84CE2" w:rsidRDefault="00D84CE2">
      <w:r>
        <w:t>ipsilateral mean lung &lt;9Gy</w:t>
      </w:r>
    </w:p>
    <w:p w:rsidR="00D84CE2" w:rsidRDefault="00D84CE2"/>
    <w:p w:rsidR="00F973D6" w:rsidRDefault="00F973D6">
      <w:r w:rsidRPr="001E0F71">
        <w:rPr>
          <w:highlight w:val="yellow"/>
        </w:rPr>
        <w:t>trachea</w:t>
      </w:r>
      <w:r>
        <w:t xml:space="preserve"> V35&lt;1cc</w:t>
      </w:r>
    </w:p>
    <w:p w:rsidR="00437B8E" w:rsidRDefault="00437B8E"/>
    <w:p w:rsidR="00F973D6" w:rsidRDefault="00F973D6">
      <w:r w:rsidRPr="00C321A8">
        <w:rPr>
          <w:highlight w:val="yellow"/>
        </w:rPr>
        <w:lastRenderedPageBreak/>
        <w:t>bronchial tree</w:t>
      </w:r>
    </w:p>
    <w:p w:rsidR="00F973D6" w:rsidRDefault="00F973D6">
      <w:r>
        <w:t xml:space="preserve">V35&lt;1cc, </w:t>
      </w:r>
      <w:proofErr w:type="spellStart"/>
      <w:r>
        <w:t>dmax</w:t>
      </w:r>
      <w:proofErr w:type="spellEnd"/>
      <w:r>
        <w:t xml:space="preserve"> 38Gy</w:t>
      </w:r>
    </w:p>
    <w:p w:rsidR="00437B8E" w:rsidRDefault="00437B8E">
      <w:r>
        <w:t>32Gy &lt;5cc</w:t>
      </w:r>
    </w:p>
    <w:p w:rsidR="00D84CE2" w:rsidRDefault="00D84CE2">
      <w:r w:rsidRPr="004753EF">
        <w:rPr>
          <w:highlight w:val="yellow"/>
        </w:rPr>
        <w:t>Small bronchioles</w:t>
      </w:r>
      <w:r>
        <w:t xml:space="preserve"> max 20Gy</w:t>
      </w:r>
    </w:p>
    <w:p w:rsidR="00F973D6" w:rsidRDefault="00F973D6">
      <w:r w:rsidRPr="00C321A8">
        <w:rPr>
          <w:highlight w:val="yellow"/>
        </w:rPr>
        <w:t>Hilar major vessels</w:t>
      </w:r>
    </w:p>
    <w:p w:rsidR="00F973D6" w:rsidRDefault="00F973D6">
      <w:r>
        <w:t xml:space="preserve">V40&lt;1cc, </w:t>
      </w:r>
      <w:proofErr w:type="spellStart"/>
      <w:r>
        <w:t>dmax</w:t>
      </w:r>
      <w:proofErr w:type="spellEnd"/>
      <w:r>
        <w:t xml:space="preserve"> 56Gy</w:t>
      </w:r>
    </w:p>
    <w:p w:rsidR="00F973D6" w:rsidRDefault="00F973D6">
      <w:r w:rsidRPr="00C321A8">
        <w:rPr>
          <w:highlight w:val="yellow"/>
        </w:rPr>
        <w:t>Other chest great vessels</w:t>
      </w:r>
    </w:p>
    <w:p w:rsidR="00F973D6" w:rsidRDefault="00F973D6">
      <w:r>
        <w:t xml:space="preserve">V40&lt;1cc, </w:t>
      </w:r>
      <w:proofErr w:type="spellStart"/>
      <w:r>
        <w:t>dmax</w:t>
      </w:r>
      <w:proofErr w:type="spellEnd"/>
      <w:r>
        <w:t xml:space="preserve"> 56Gy</w:t>
      </w:r>
    </w:p>
    <w:p w:rsidR="00F973D6" w:rsidRDefault="00F973D6">
      <w:r w:rsidRPr="00C321A8">
        <w:rPr>
          <w:highlight w:val="yellow"/>
        </w:rPr>
        <w:t>Esophagus</w:t>
      </w:r>
      <w:r>
        <w:t xml:space="preserve"> </w:t>
      </w:r>
    </w:p>
    <w:p w:rsidR="00F973D6" w:rsidRDefault="00F973D6">
      <w:r>
        <w:t xml:space="preserve">V30&lt;1cc, </w:t>
      </w:r>
      <w:proofErr w:type="spellStart"/>
      <w:r>
        <w:t>dmax</w:t>
      </w:r>
      <w:proofErr w:type="spellEnd"/>
      <w:r>
        <w:t xml:space="preserve"> &lt;35Gy</w:t>
      </w:r>
    </w:p>
    <w:p w:rsidR="00F973D6" w:rsidRDefault="00F973D6">
      <w:r w:rsidRPr="001E0F71">
        <w:rPr>
          <w:highlight w:val="yellow"/>
        </w:rPr>
        <w:t>Heart</w:t>
      </w:r>
      <w:r>
        <w:t xml:space="preserve"> </w:t>
      </w:r>
    </w:p>
    <w:p w:rsidR="00F973D6" w:rsidRDefault="00F973D6">
      <w:r>
        <w:t xml:space="preserve">V40&lt;1cc, </w:t>
      </w:r>
      <w:proofErr w:type="spellStart"/>
      <w:r>
        <w:t>dmax</w:t>
      </w:r>
      <w:proofErr w:type="spellEnd"/>
      <w:r>
        <w:t xml:space="preserve"> &lt;45Gy</w:t>
      </w:r>
    </w:p>
    <w:p w:rsidR="00F973D6" w:rsidRDefault="00F973D6">
      <w:r w:rsidRPr="001E0F71">
        <w:rPr>
          <w:highlight w:val="yellow"/>
        </w:rPr>
        <w:t>Pericardium</w:t>
      </w:r>
      <w:r>
        <w:t xml:space="preserve"> v20&lt;5cc, </w:t>
      </w:r>
      <w:proofErr w:type="spellStart"/>
      <w:r>
        <w:t>dmax</w:t>
      </w:r>
      <w:proofErr w:type="spellEnd"/>
      <w:r>
        <w:t xml:space="preserve"> &lt;45Gy</w:t>
      </w:r>
    </w:p>
    <w:p w:rsidR="00F973D6" w:rsidRDefault="00F973D6">
      <w:r w:rsidRPr="001E0F71">
        <w:rPr>
          <w:highlight w:val="yellow"/>
        </w:rPr>
        <w:t>Brachial plexus</w:t>
      </w:r>
    </w:p>
    <w:p w:rsidR="00F973D6" w:rsidRDefault="00F973D6">
      <w:r>
        <w:t xml:space="preserve">V30&lt;0.2cc, </w:t>
      </w:r>
      <w:proofErr w:type="spellStart"/>
      <w:r>
        <w:t>dmax</w:t>
      </w:r>
      <w:proofErr w:type="spellEnd"/>
      <w:r>
        <w:t xml:space="preserve"> &lt; 35Gy</w:t>
      </w:r>
    </w:p>
    <w:p w:rsidR="00F973D6" w:rsidRDefault="00F973D6">
      <w:r w:rsidRPr="00C321A8">
        <w:rPr>
          <w:highlight w:val="yellow"/>
        </w:rPr>
        <w:t>Spinal cord</w:t>
      </w:r>
      <w:r>
        <w:t xml:space="preserve"> v20&lt;1cc, </w:t>
      </w:r>
      <w:proofErr w:type="spellStart"/>
      <w:r>
        <w:t>dmax</w:t>
      </w:r>
      <w:proofErr w:type="spellEnd"/>
      <w:r>
        <w:t xml:space="preserve"> 25Gy (20Gy preferable)</w:t>
      </w:r>
    </w:p>
    <w:p w:rsidR="00DA22FE" w:rsidRDefault="00DA22FE">
      <w:pPr>
        <w:rPr>
          <w:highlight w:val="yellow"/>
        </w:rPr>
      </w:pPr>
    </w:p>
    <w:p w:rsidR="00F973D6" w:rsidRDefault="00F973D6">
      <w:r w:rsidRPr="00C321A8">
        <w:rPr>
          <w:highlight w:val="yellow"/>
        </w:rPr>
        <w:t>Chest wall</w:t>
      </w:r>
    </w:p>
    <w:p w:rsidR="00F973D6" w:rsidRDefault="00F973D6">
      <w:r>
        <w:t>V30&lt;30cc</w:t>
      </w:r>
    </w:p>
    <w:p w:rsidR="00260B19" w:rsidRDefault="00260B19">
      <w:r>
        <w:t>V40Gy&lt;5cc</w:t>
      </w:r>
    </w:p>
    <w:p w:rsidR="00640E3A" w:rsidRDefault="00640E3A">
      <w:r>
        <w:t>V40&lt;</w:t>
      </w:r>
      <w:r w:rsidR="00D84CE2">
        <w:t>0.2%</w:t>
      </w:r>
    </w:p>
    <w:p w:rsidR="00260B19" w:rsidRDefault="00260B19">
      <w:proofErr w:type="spellStart"/>
      <w:r>
        <w:t>Dmax</w:t>
      </w:r>
      <w:proofErr w:type="spellEnd"/>
      <w:r>
        <w:t xml:space="preserve"> </w:t>
      </w:r>
      <w:r w:rsidR="004753EF">
        <w:t>43-</w:t>
      </w:r>
      <w:r>
        <w:t>50Gy</w:t>
      </w:r>
      <w:r w:rsidR="00DA22FE">
        <w:t xml:space="preserve"> (or max 105%)</w:t>
      </w:r>
    </w:p>
    <w:p w:rsidR="00DA22FE" w:rsidRDefault="00DA22FE">
      <w:pPr>
        <w:rPr>
          <w:highlight w:val="yellow"/>
        </w:rPr>
      </w:pPr>
    </w:p>
    <w:p w:rsidR="00F973D6" w:rsidRDefault="00F973D6">
      <w:r w:rsidRPr="00C321A8">
        <w:rPr>
          <w:highlight w:val="yellow"/>
        </w:rPr>
        <w:t>Skin</w:t>
      </w:r>
    </w:p>
    <w:p w:rsidR="00F973D6" w:rsidRDefault="00F973D6">
      <w:r>
        <w:t>V30&lt;50cc</w:t>
      </w:r>
    </w:p>
    <w:p w:rsidR="00F973D6" w:rsidRDefault="00125952">
      <w:r w:rsidRPr="00914B34">
        <w:rPr>
          <w:highlight w:val="yellow"/>
        </w:rPr>
        <w:lastRenderedPageBreak/>
        <w:t>Stomach</w:t>
      </w:r>
    </w:p>
    <w:p w:rsidR="004E3FA6" w:rsidRDefault="004E3FA6">
      <w:r>
        <w:t xml:space="preserve">Max </w:t>
      </w:r>
      <w:r w:rsidR="00FE525D">
        <w:t>20-</w:t>
      </w:r>
      <w:r>
        <w:t>30Gy</w:t>
      </w:r>
    </w:p>
    <w:p w:rsidR="004E3FA6" w:rsidRDefault="004E3FA6">
      <w:r>
        <w:t>25Gy&lt;5cc</w:t>
      </w:r>
    </w:p>
    <w:p w:rsidR="003C1FC4" w:rsidRDefault="003C1FC4">
      <w:r>
        <w:t>18Gy&lt;10cc</w:t>
      </w:r>
    </w:p>
    <w:p w:rsidR="004E3FA6" w:rsidRDefault="004E3FA6">
      <w:r w:rsidRPr="00914B34">
        <w:rPr>
          <w:highlight w:val="yellow"/>
        </w:rPr>
        <w:t>Spleen</w:t>
      </w:r>
    </w:p>
    <w:p w:rsidR="004E3FA6" w:rsidRDefault="004E3FA6">
      <w:r>
        <w:t>25Gy&lt;5cc</w:t>
      </w:r>
    </w:p>
    <w:p w:rsidR="004E3FA6" w:rsidRDefault="004E3FA6">
      <w:r>
        <w:t>?max &lt;35Gy</w:t>
      </w:r>
    </w:p>
    <w:p w:rsidR="00C321A8" w:rsidRDefault="00C321A8">
      <w:r w:rsidRPr="00914B34">
        <w:rPr>
          <w:highlight w:val="yellow"/>
        </w:rPr>
        <w:t>Liver</w:t>
      </w:r>
    </w:p>
    <w:p w:rsidR="008E1AD6" w:rsidRDefault="00914B34">
      <w:r>
        <w:t>21.5Gy &lt; 700cc</w:t>
      </w:r>
    </w:p>
    <w:p w:rsidR="00914B34" w:rsidRDefault="00914B34"/>
    <w:p w:rsidR="008E1AD6" w:rsidRDefault="008E1AD6">
      <w:r>
        <w:t xml:space="preserve">If MULTIPLE lung lesions remember: PFTs, lung </w:t>
      </w:r>
      <w:proofErr w:type="spellStart"/>
      <w:r>
        <w:t>dlco</w:t>
      </w:r>
      <w:proofErr w:type="spellEnd"/>
      <w:r>
        <w:t xml:space="preserve"> 60%, v20&lt;15-17% and mean lung dose &lt;9Gy if multiple lung lesions for normal lung constraints</w:t>
      </w:r>
    </w:p>
    <w:p w:rsidR="0081493B" w:rsidRDefault="0081493B"/>
    <w:p w:rsidR="00DB12B4" w:rsidRDefault="00DB12B4">
      <w:r>
        <w:t>Adrenal SBRT dosimetry (5 fractions)</w:t>
      </w:r>
    </w:p>
    <w:p w:rsidR="0081493B" w:rsidRDefault="0081493B" w:rsidP="0081493B">
      <w:r>
        <w:t>duodenum max 26Gy, LU002 max 26Gy, 18Gy &lt; 5cc, 12.5-14.5Gy &lt; 10cc</w:t>
      </w:r>
    </w:p>
    <w:p w:rsidR="0081493B" w:rsidRDefault="0081493B" w:rsidP="0081493B">
      <w:r>
        <w:t xml:space="preserve">bowel max 30Gy, 20Gy &lt; 30cc (if can go lower 26Gy or 21.5Gy was median and low end of observed dose), </w:t>
      </w:r>
    </w:p>
    <w:p w:rsidR="0081493B" w:rsidRDefault="0081493B" w:rsidP="0081493B">
      <w:r>
        <w:t>Stomach max 26Gy, V20&lt;30cc</w:t>
      </w:r>
    </w:p>
    <w:p w:rsidR="0081493B" w:rsidRDefault="0081493B" w:rsidP="0081493B">
      <w:r>
        <w:t>Spinal cord max 20Gy or less</w:t>
      </w:r>
      <w:bookmarkStart w:id="0" w:name="_GoBack"/>
      <w:bookmarkEnd w:id="0"/>
    </w:p>
    <w:p w:rsidR="0081493B" w:rsidRDefault="0081493B" w:rsidP="0081493B">
      <w:r>
        <w:t>Ipsilateral Right kidney 15Gy &lt;20% (or lower 11Gy &lt;20%)</w:t>
      </w:r>
    </w:p>
    <w:p w:rsidR="00DD19A7" w:rsidRDefault="00DD19A7" w:rsidP="0081493B">
      <w:r>
        <w:t>Kidneys v10Gy &lt; 10%</w:t>
      </w:r>
    </w:p>
    <w:p w:rsidR="00DD19A7" w:rsidRDefault="00DD19A7" w:rsidP="0081493B">
      <w:r>
        <w:t>Mean bilateral kidneys &lt;10Gy</w:t>
      </w:r>
    </w:p>
    <w:p w:rsidR="0081493B" w:rsidRDefault="0081493B" w:rsidP="0081493B">
      <w:r>
        <w:t>Bilateral kidneys LU002 18Gy&lt; 200cc, 23Gy &lt;2/3 volume</w:t>
      </w:r>
    </w:p>
    <w:p w:rsidR="0081493B" w:rsidRDefault="0081493B" w:rsidP="0081493B">
      <w:r>
        <w:t>Liver mean 10Gy, LU002 21Gy&lt;700cc</w:t>
      </w:r>
    </w:p>
    <w:p w:rsidR="0081493B" w:rsidRDefault="0081493B" w:rsidP="0081493B">
      <w:r>
        <w:t>Skin max 38Gy</w:t>
      </w:r>
    </w:p>
    <w:tbl>
      <w:tblPr>
        <w:tblW w:w="951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4837"/>
      </w:tblGrid>
      <w:tr w:rsidR="005042B7" w:rsidTr="00E93065">
        <w:trPr>
          <w:trHeight w:val="774"/>
        </w:trPr>
        <w:tc>
          <w:tcPr>
            <w:tcW w:w="1620" w:type="dxa"/>
            <w:shd w:val="clear" w:color="auto" w:fill="auto"/>
            <w:vAlign w:val="center"/>
            <w:hideMark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  <w:lastRenderedPageBreak/>
              <w:t>Parallel Tissue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4"/>
              </w:rPr>
              <w:t>Constraint*</w:t>
            </w:r>
          </w:p>
        </w:tc>
        <w:tc>
          <w:tcPr>
            <w:tcW w:w="1350" w:type="dxa"/>
            <w:shd w:val="clear" w:color="000000" w:fill="66FFFF"/>
            <w:vAlign w:val="center"/>
            <w:hideMark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  <w:t>Per Protocol (cc or %)</w:t>
            </w:r>
          </w:p>
        </w:tc>
        <w:tc>
          <w:tcPr>
            <w:tcW w:w="4837" w:type="dxa"/>
            <w:shd w:val="clear" w:color="auto" w:fill="auto"/>
            <w:vAlign w:val="center"/>
            <w:hideMark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  <w:t>Notes</w:t>
            </w:r>
          </w:p>
        </w:tc>
      </w:tr>
      <w:tr w:rsidR="005042B7" w:rsidTr="00E93065">
        <w:trPr>
          <w:trHeight w:val="64"/>
        </w:trPr>
        <w:tc>
          <w:tcPr>
            <w:tcW w:w="1620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Liver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CV21Gy[cc]</w:t>
            </w:r>
          </w:p>
        </w:tc>
        <w:tc>
          <w:tcPr>
            <w:tcW w:w="1350" w:type="dxa"/>
            <w:shd w:val="clear" w:color="000000" w:fill="66FFFF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&gt;700</w:t>
            </w:r>
          </w:p>
        </w:tc>
        <w:tc>
          <w:tcPr>
            <w:tcW w:w="4837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To preserve basic liver function</w:t>
            </w:r>
          </w:p>
        </w:tc>
      </w:tr>
      <w:tr w:rsidR="005042B7" w:rsidTr="00E93065">
        <w:trPr>
          <w:trHeight w:val="107"/>
        </w:trPr>
        <w:tc>
          <w:tcPr>
            <w:tcW w:w="1620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Combined Kidneys**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CV18Gy[cc]</w:t>
            </w:r>
          </w:p>
        </w:tc>
        <w:tc>
          <w:tcPr>
            <w:tcW w:w="1350" w:type="dxa"/>
            <w:shd w:val="clear" w:color="000000" w:fill="66FFFF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&gt;200</w:t>
            </w:r>
          </w:p>
        </w:tc>
        <w:tc>
          <w:tcPr>
            <w:tcW w:w="4837" w:type="dxa"/>
            <w:shd w:val="clear" w:color="auto" w:fill="auto"/>
            <w:vAlign w:val="center"/>
          </w:tcPr>
          <w:p w:rsidR="005042B7" w:rsidRDefault="005042B7" w:rsidP="00E930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</w:rPr>
              <w:t>To preserve basic kidney function</w:t>
            </w:r>
          </w:p>
        </w:tc>
      </w:tr>
    </w:tbl>
    <w:p w:rsidR="005042B7" w:rsidRDefault="005042B7" w:rsidP="005042B7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hAnsi="Times New Roman"/>
          <w:snapToGrid w:val="0"/>
          <w:color w:val="000000"/>
          <w:szCs w:val="24"/>
        </w:rPr>
      </w:pPr>
      <w:r>
        <w:rPr>
          <w:rFonts w:ascii="Times New Roman" w:hAnsi="Times New Roman"/>
          <w:snapToGrid w:val="0"/>
          <w:color w:val="000000"/>
          <w:szCs w:val="24"/>
        </w:rPr>
        <w:t>*</w:t>
      </w:r>
      <w:r w:rsidRPr="000A57D7">
        <w:rPr>
          <w:rFonts w:ascii="Times New Roman" w:hAnsi="Times New Roman"/>
          <w:snapToGrid w:val="0"/>
          <w:color w:val="000000"/>
          <w:szCs w:val="24"/>
        </w:rPr>
        <w:t>A complementary volume (CV)</w:t>
      </w:r>
      <w:r>
        <w:rPr>
          <w:rFonts w:ascii="Times New Roman" w:hAnsi="Times New Roman"/>
          <w:snapToGrid w:val="0"/>
          <w:color w:val="000000"/>
          <w:szCs w:val="24"/>
        </w:rPr>
        <w:t xml:space="preserve"> or “cold volume”</w:t>
      </w:r>
      <w:r w:rsidRPr="000A57D7">
        <w:rPr>
          <w:rFonts w:ascii="Times New Roman" w:hAnsi="Times New Roman"/>
          <w:snapToGrid w:val="0"/>
          <w:color w:val="000000"/>
          <w:szCs w:val="24"/>
        </w:rPr>
        <w:t xml:space="preserve"> is the volume of tissue receiving the indicated dose or less.  </w:t>
      </w:r>
      <w:proofErr w:type="spellStart"/>
      <w:r w:rsidRPr="000A57D7">
        <w:rPr>
          <w:rFonts w:ascii="Times New Roman" w:hAnsi="Times New Roman"/>
          <w:snapToGrid w:val="0"/>
          <w:color w:val="000000"/>
          <w:szCs w:val="24"/>
        </w:rPr>
        <w:t>CVxGy</w:t>
      </w:r>
      <w:proofErr w:type="spellEnd"/>
      <w:r w:rsidRPr="000A57D7">
        <w:rPr>
          <w:rFonts w:ascii="Times New Roman" w:hAnsi="Times New Roman"/>
          <w:snapToGrid w:val="0"/>
          <w:color w:val="000000"/>
          <w:szCs w:val="24"/>
        </w:rPr>
        <w:t>[cc] are complementary or cold volume objectives for parallel tissues, where "</w:t>
      </w:r>
      <w:proofErr w:type="spellStart"/>
      <w:r w:rsidRPr="000A57D7">
        <w:rPr>
          <w:rFonts w:ascii="Times New Roman" w:hAnsi="Times New Roman"/>
          <w:snapToGrid w:val="0"/>
          <w:color w:val="000000"/>
          <w:szCs w:val="24"/>
        </w:rPr>
        <w:t>xGy</w:t>
      </w:r>
      <w:proofErr w:type="spellEnd"/>
      <w:r w:rsidRPr="000A57D7">
        <w:rPr>
          <w:rFonts w:ascii="Times New Roman" w:hAnsi="Times New Roman"/>
          <w:snapToGrid w:val="0"/>
          <w:color w:val="000000"/>
          <w:szCs w:val="24"/>
        </w:rPr>
        <w:t xml:space="preserve">" is the threshold dose and the critical volumes are displayed in the table.  To use these objectives as conventional DVH-based inverse planning objectives, the planner can convert using the total structure volume and the equation </w:t>
      </w:r>
      <w:proofErr w:type="spellStart"/>
      <w:r>
        <w:rPr>
          <w:rFonts w:ascii="Times New Roman" w:hAnsi="Times New Roman"/>
          <w:snapToGrid w:val="0"/>
          <w:color w:val="000000"/>
          <w:szCs w:val="24"/>
        </w:rPr>
        <w:t>V</w:t>
      </w:r>
      <w:r w:rsidRPr="000A57D7">
        <w:rPr>
          <w:rFonts w:ascii="Times New Roman" w:hAnsi="Times New Roman"/>
          <w:snapToGrid w:val="0"/>
          <w:color w:val="000000"/>
          <w:szCs w:val="24"/>
          <w:vertAlign w:val="subscript"/>
        </w:rPr>
        <w:t>threshold</w:t>
      </w:r>
      <w:proofErr w:type="spellEnd"/>
      <w:r w:rsidRPr="000A57D7">
        <w:rPr>
          <w:rFonts w:ascii="Times New Roman" w:hAnsi="Times New Roman"/>
          <w:snapToGrid w:val="0"/>
          <w:color w:val="000000"/>
          <w:szCs w:val="24"/>
          <w:vertAlign w:val="subscript"/>
        </w:rPr>
        <w:t xml:space="preserve"> </w:t>
      </w:r>
      <w:proofErr w:type="gramStart"/>
      <w:r w:rsidRPr="000A57D7">
        <w:rPr>
          <w:rFonts w:ascii="Times New Roman" w:hAnsi="Times New Roman"/>
          <w:snapToGrid w:val="0"/>
          <w:color w:val="000000"/>
          <w:szCs w:val="24"/>
          <w:vertAlign w:val="subscript"/>
        </w:rPr>
        <w:t>dose</w:t>
      </w:r>
      <w:r w:rsidRPr="000A57D7">
        <w:rPr>
          <w:rFonts w:ascii="Times New Roman" w:hAnsi="Times New Roman"/>
          <w:snapToGrid w:val="0"/>
          <w:color w:val="000000"/>
          <w:szCs w:val="24"/>
        </w:rPr>
        <w:t>[</w:t>
      </w:r>
      <w:proofErr w:type="gramEnd"/>
      <w:r w:rsidRPr="000A57D7">
        <w:rPr>
          <w:rFonts w:ascii="Times New Roman" w:hAnsi="Times New Roman"/>
          <w:snapToGrid w:val="0"/>
          <w:color w:val="000000"/>
          <w:szCs w:val="24"/>
        </w:rPr>
        <w:t>%] &lt;   [1 - (</w:t>
      </w:r>
      <w:proofErr w:type="spellStart"/>
      <w:r w:rsidRPr="000A57D7">
        <w:rPr>
          <w:rFonts w:ascii="Times New Roman" w:hAnsi="Times New Roman"/>
          <w:snapToGrid w:val="0"/>
          <w:color w:val="000000"/>
          <w:szCs w:val="24"/>
        </w:rPr>
        <w:t>V</w:t>
      </w:r>
      <w:r w:rsidRPr="000A57D7">
        <w:rPr>
          <w:rFonts w:ascii="Times New Roman" w:hAnsi="Times New Roman"/>
          <w:snapToGrid w:val="0"/>
          <w:color w:val="000000"/>
          <w:szCs w:val="24"/>
          <w:vertAlign w:val="subscript"/>
        </w:rPr>
        <w:t>critical</w:t>
      </w:r>
      <w:proofErr w:type="spellEnd"/>
      <w:r w:rsidRPr="000A57D7">
        <w:rPr>
          <w:rFonts w:ascii="Times New Roman" w:hAnsi="Times New Roman"/>
          <w:snapToGrid w:val="0"/>
          <w:color w:val="000000"/>
          <w:szCs w:val="24"/>
        </w:rPr>
        <w:t xml:space="preserve"> / </w:t>
      </w:r>
      <w:proofErr w:type="spellStart"/>
      <w:r w:rsidRPr="000A57D7">
        <w:rPr>
          <w:rFonts w:ascii="Times New Roman" w:hAnsi="Times New Roman"/>
          <w:snapToGrid w:val="0"/>
          <w:color w:val="000000"/>
          <w:szCs w:val="24"/>
        </w:rPr>
        <w:t>V</w:t>
      </w:r>
      <w:r w:rsidRPr="000A57D7">
        <w:rPr>
          <w:rFonts w:ascii="Times New Roman" w:hAnsi="Times New Roman"/>
          <w:snapToGrid w:val="0"/>
          <w:color w:val="000000"/>
          <w:szCs w:val="24"/>
          <w:vertAlign w:val="subscript"/>
        </w:rPr>
        <w:t>total</w:t>
      </w:r>
      <w:proofErr w:type="spellEnd"/>
      <w:r w:rsidRPr="000A57D7">
        <w:rPr>
          <w:rFonts w:ascii="Times New Roman" w:hAnsi="Times New Roman"/>
          <w:snapToGrid w:val="0"/>
          <w:color w:val="000000"/>
          <w:szCs w:val="24"/>
        </w:rPr>
        <w:t>)]  x 100% (note the change to "less than</w:t>
      </w:r>
      <w:r>
        <w:rPr>
          <w:rFonts w:ascii="Times New Roman" w:hAnsi="Times New Roman"/>
          <w:snapToGrid w:val="0"/>
          <w:color w:val="000000"/>
          <w:szCs w:val="24"/>
        </w:rPr>
        <w:t>").  For example, for the CV21Gy[cc] metric and a total liver volume of 2</w:t>
      </w:r>
      <w:r w:rsidRPr="000A57D7">
        <w:rPr>
          <w:rFonts w:ascii="Times New Roman" w:hAnsi="Times New Roman"/>
          <w:snapToGrid w:val="0"/>
          <w:color w:val="000000"/>
          <w:szCs w:val="24"/>
        </w:rPr>
        <w:t>000cc, the corresponding maximum volume obje</w:t>
      </w:r>
      <w:r>
        <w:rPr>
          <w:rFonts w:ascii="Times New Roman" w:hAnsi="Times New Roman"/>
          <w:snapToGrid w:val="0"/>
          <w:color w:val="000000"/>
          <w:szCs w:val="24"/>
        </w:rPr>
        <w:t>ctive V21</w:t>
      </w:r>
      <w:proofErr w:type="gramStart"/>
      <w:r w:rsidRPr="000A57D7">
        <w:rPr>
          <w:rFonts w:ascii="Times New Roman" w:hAnsi="Times New Roman"/>
          <w:snapToGrid w:val="0"/>
          <w:color w:val="000000"/>
          <w:szCs w:val="24"/>
        </w:rPr>
        <w:t>Gy[</w:t>
      </w:r>
      <w:proofErr w:type="gramEnd"/>
      <w:r w:rsidRPr="000A57D7">
        <w:rPr>
          <w:rFonts w:ascii="Times New Roman" w:hAnsi="Times New Roman"/>
          <w:snapToGrid w:val="0"/>
          <w:color w:val="000000"/>
          <w:szCs w:val="24"/>
        </w:rPr>
        <w:t>%] s</w:t>
      </w:r>
      <w:r>
        <w:rPr>
          <w:rFonts w:ascii="Times New Roman" w:hAnsi="Times New Roman"/>
          <w:snapToGrid w:val="0"/>
          <w:color w:val="000000"/>
          <w:szCs w:val="24"/>
        </w:rPr>
        <w:t>hould be kept less than [1 - (700 / 2000)]  x 100%,  or &lt; 65</w:t>
      </w:r>
      <w:r w:rsidRPr="000A57D7">
        <w:rPr>
          <w:rFonts w:ascii="Times New Roman" w:hAnsi="Times New Roman"/>
          <w:snapToGrid w:val="0"/>
          <w:color w:val="000000"/>
          <w:szCs w:val="24"/>
        </w:rPr>
        <w:t>%.</w:t>
      </w:r>
    </w:p>
    <w:p w:rsidR="0081493B" w:rsidRDefault="0081493B"/>
    <w:sectPr w:rsidR="0081493B" w:rsidSect="00A9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3D6"/>
    <w:rsid w:val="0008171B"/>
    <w:rsid w:val="00125952"/>
    <w:rsid w:val="00150460"/>
    <w:rsid w:val="001E0F71"/>
    <w:rsid w:val="001F561B"/>
    <w:rsid w:val="00260B19"/>
    <w:rsid w:val="002A611F"/>
    <w:rsid w:val="003A1BB1"/>
    <w:rsid w:val="003C1FC4"/>
    <w:rsid w:val="00437B8E"/>
    <w:rsid w:val="004419DA"/>
    <w:rsid w:val="00465600"/>
    <w:rsid w:val="004753EF"/>
    <w:rsid w:val="004E3FA6"/>
    <w:rsid w:val="005042B7"/>
    <w:rsid w:val="005A59E3"/>
    <w:rsid w:val="006029D2"/>
    <w:rsid w:val="00640E3A"/>
    <w:rsid w:val="0081493B"/>
    <w:rsid w:val="00822739"/>
    <w:rsid w:val="008A6D68"/>
    <w:rsid w:val="008C025F"/>
    <w:rsid w:val="008E1AD6"/>
    <w:rsid w:val="00914B34"/>
    <w:rsid w:val="00932515"/>
    <w:rsid w:val="00933845"/>
    <w:rsid w:val="00A62F6D"/>
    <w:rsid w:val="00A90A75"/>
    <w:rsid w:val="00A953BD"/>
    <w:rsid w:val="00B418E2"/>
    <w:rsid w:val="00BE2925"/>
    <w:rsid w:val="00C321A8"/>
    <w:rsid w:val="00CA7E30"/>
    <w:rsid w:val="00D84CE2"/>
    <w:rsid w:val="00DA22FE"/>
    <w:rsid w:val="00DB12B4"/>
    <w:rsid w:val="00DD19A7"/>
    <w:rsid w:val="00E010D6"/>
    <w:rsid w:val="00E95727"/>
    <w:rsid w:val="00F456F3"/>
    <w:rsid w:val="00F619A3"/>
    <w:rsid w:val="00F72115"/>
    <w:rsid w:val="00F973D6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81CC4-AB6B-4803-AEF1-2CF9138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Hope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sdandapani</dc:creator>
  <cp:lastModifiedBy>Savita Dandapani MD PhD</cp:lastModifiedBy>
  <cp:revision>41</cp:revision>
  <cp:lastPrinted>2018-07-09T15:15:00Z</cp:lastPrinted>
  <dcterms:created xsi:type="dcterms:W3CDTF">2018-03-07T18:48:00Z</dcterms:created>
  <dcterms:modified xsi:type="dcterms:W3CDTF">2020-12-02T20:04:00Z</dcterms:modified>
</cp:coreProperties>
</file>