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I'll search for the latest information on Broadcom (AVGO) before synthesizing the report.</w:t>
      </w:r>
    </w:p>
    <w:p/>
    <w:p>
      <w:r>
        <w:t xml:space="preserve">{"name": "web_search", "arguments": {"query": "Broadcom AVGO latest quarterly earnings Q4 FY2025 results"}}</w:t>
      </w:r>
    </w:p>
    <w:p/>
    <w:p>
      <w:pPr>
        <w:pStyle w:val="Heading1"/>
      </w:pPr>
      <w:r>
        <w:t xml:space="preserve">AVGO — Initiating Coverage</w:t>
      </w:r>
    </w:p>
    <w:p>
      <w:r>
        <w:rPr>
          <w:i/>
        </w:rPr>
        <w:t xml:space="preserve">as of พ.ย. 2025 · latest reported: Q3 FY2025 (สิ้นสุด 3 ส.ค. 2025)</w:t>
      </w:r>
    </w:p>
    <w:p/>
    <w:p>
      <w:pPr>
        <w:pStyle w:val="Heading2"/>
      </w:pPr>
      <w:r>
        <w:t xml:space="preserve">1. Business Description (ลักษณะธุรกิจ)</w:t>
      </w:r>
    </w:p>
    <w:p/>
    <w:p>
      <w:r>
        <w:rPr>
          <w:b/>
        </w:rPr>
        <w:t xml:space="preserve">Key takeaway:</w:t>
      </w:r>
      <w:r>
        <w:t xml:space="preserve"> Broadcom เป็นผู้ออกแบบเซมิคอนดักเตอร์และซอฟต์แวร์โครงสร้างพื้นฐานระดับโลก โดยมีตัวขับเคลื่อนหลักสองขาคือชิป AI/เน็ตเวิร์กกิงสำหรับไฮเปอร์สเกลเลอร์ และซอฟต์แวร์ enterprise จากการเข้าซื้อ VMware</w:t>
      </w:r>
    </w:p>
    <w:p/>
    <w:p>
      <w:pPr>
        <w:pStyle w:val="Heading3"/>
      </w:pPr>
      <w:r>
        <w:t xml:space="preserve">Segment Breakdown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Semiconductor Solutions</w:t>
      </w:r>
      <w:r>
        <w:t xml:space="preserve"> — คิดเป็นประมาณ 56–58% ของรายได้รวม ครอบคลุม AI accelerators (XPU/ASIC ที่ออกแบบให้ลูกค้าเช่น Google, Meta), networking switches/routers (Tomahawk, Jericho), broadband, wireless (RF filters/components ใน iPhone), server storage, และ industrial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Infrastructure Software</w:t>
      </w:r>
      <w:r>
        <w:t xml:space="preserve"> — คิดเป็นประมาณ 42–44% หลังควบรวม VMware (ปิดดีลปลายปี 2023 มูลค่า ~$69B) รวมถึง CA Technologies, Symantec Enterprise, Brocade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AI revenue</w:t>
      </w:r>
      <w:r>
        <w:t xml:space="preserve"> — บริษัทรายงาน Q3 FY2025 AI revenue ราว $5.2B (+63% YoY) และคาดการณ์ Q4 FY2025 AI revenue ~$6.2B ตามการแถลงของ CEO Hock Tan</w:t>
      </w:r>
    </w:p>
    <w:p/>
    <w:p>
      <w:pPr>
        <w:pStyle w:val="Heading3"/>
      </w:pPr>
      <w:r>
        <w:t xml:space="preserve">โมเดลรายได้</w:t>
      </w:r>
    </w:p>
    <w:p>
      <w:pPr>
        <w:pStyle w:val="ListBullet"/>
        <w:numPr>
          <w:ilvl w:val="0"/>
          <w:numId w:val="1"/>
        </w:numPr>
      </w:pPr>
      <w:r>
        <w:t xml:space="preserve">ขายชิป custom ASIC ให้ hyperscaler ภายใต้สัญญาออกแบบระยะยาว (มี customer concentration สูงในกลุ่ม top-3 hyperscalers)</w:t>
      </w:r>
    </w:p>
    <w:p>
      <w:pPr>
        <w:pStyle w:val="ListBullet"/>
        <w:numPr>
          <w:ilvl w:val="0"/>
          <w:numId w:val="1"/>
        </w:numPr>
      </w:pPr>
      <w:r>
        <w:t xml:space="preserve">ขายซอฟต์แวร์แบบ subscription (VMware Cloud Foundation/VCF) ซึ่งกำลังเร่งแปลงสัญญา perpetual เป็น subscription</w:t>
      </w:r>
    </w:p>
    <w:p/>
    <w:p>
      <w:pPr>
        <w:pStyle w:val="Heading2"/>
      </w:pPr>
      <w:r>
        <w:t xml:space="preserve">2. Competitive Moat (ความได้เปรียบเชิงแข่งขัน)</w:t>
      </w:r>
    </w:p>
    <w:p/>
    <w:p>
      <w:r>
        <w:rPr>
          <w:b/>
        </w:rPr>
        <w:t xml:space="preserve">Key takeaway:</w:t>
      </w:r>
      <w:r>
        <w:t xml:space="preserve"> moat ของ AVGO มาจากการผูกขาดทางเทคโนโลยีในเฉพาะ niche (RF, networking ASIC, custom AI silicon) บวกกับ switching cost ที่สูงมากของซอฟต์แวร์โครงสร้างพื้นฐาน</w:t>
      </w:r>
    </w:p>
    <w:p/>
    <w:p>
      <w:pPr>
        <w:pStyle w:val="Heading3"/>
      </w:pPr>
      <w:r>
        <w:t xml:space="preserve">IP &amp; Engineering Scale</w:t>
      </w:r>
    </w:p>
    <w:p>
      <w:pPr>
        <w:pStyle w:val="ListBullet"/>
        <w:numPr>
          <w:ilvl w:val="0"/>
          <w:numId w:val="1"/>
        </w:numPr>
      </w:pPr>
      <w:r>
        <w:t xml:space="preserve">ครอบครองสิทธิบัตรกว่า 23,000 ฉบับ และทีมออกแบบ analog/mixed-signal/SerDes ที่ถือว่า top-tier ของโลก</w:t>
      </w:r>
    </w:p>
    <w:p>
      <w:pPr>
        <w:pStyle w:val="ListBullet"/>
        <w:numPr>
          <w:ilvl w:val="0"/>
          <w:numId w:val="1"/>
        </w:numPr>
      </w:pPr>
      <w:r>
        <w:t xml:space="preserve">เป็นผู้นำใน Ethernet switching silicon (Tomahawk 5/6 ที่ 51.2 Tbps) ซึ่งเป็นทางเลือกหลักนอกเหนือจาก NVIDIA InfiniBand สำหรับ AI fabric</w:t>
      </w:r>
    </w:p>
    <w:p/>
    <w:p>
      <w:pPr>
        <w:pStyle w:val="Heading3"/>
      </w:pPr>
      <w:r>
        <w:t xml:space="preserve">Switching Costs</w:t>
      </w:r>
    </w:p>
    <w:p>
      <w:pPr>
        <w:pStyle w:val="ListBullet"/>
        <w:numPr>
          <w:ilvl w:val="0"/>
          <w:numId w:val="1"/>
        </w:numPr>
      </w:pPr>
      <w:r>
        <w:t xml:space="preserve">VMware ฝังลึกใน enterprise data center — ลูกค้าย้ายออกยากเพราะต้อง re-architect workload</w:t>
      </w:r>
    </w:p>
    <w:p>
      <w:pPr>
        <w:pStyle w:val="ListBullet"/>
        <w:numPr>
          <w:ilvl w:val="0"/>
          <w:numId w:val="1"/>
        </w:numPr>
      </w:pPr>
      <w:r>
        <w:t xml:space="preserve">Custom ASIC ที่ co-design กับลูกค้า hyperscaler ต้องใช้เวลาออกแบบ 18–24 เดือน สร้าง lock-in หลายเจเนอเรชัน</w:t>
      </w:r>
    </w:p>
    <w:p/>
    <w:p>
      <w:pPr>
        <w:pStyle w:val="Heading3"/>
      </w:pPr>
      <w:r>
        <w:t xml:space="preserve">Scale &amp; Cost Advantage</w:t>
      </w:r>
    </w:p>
    <w:p>
      <w:pPr>
        <w:pStyle w:val="ListBullet"/>
        <w:numPr>
          <w:ilvl w:val="0"/>
          <w:numId w:val="1"/>
        </w:numPr>
      </w:pPr>
      <w:r>
        <w:t xml:space="preserve">Operating margin ระดับ 60%+ (non-GAAP) สะท้อนการ leverage R&amp;D ข้ามผลิตภัณฑ์ และอำนาจต่อรองกับ TSMC</w:t>
      </w:r>
    </w:p>
    <w:p/>
    <w:p>
      <w:pPr>
        <w:pStyle w:val="Heading3"/>
      </w:pPr>
      <w:r>
        <w:t xml:space="preserve">จุดอ่อนของ moat</w:t>
      </w:r>
    </w:p>
    <w:p>
      <w:pPr>
        <w:pStyle w:val="ListBullet"/>
        <w:numPr>
          <w:ilvl w:val="0"/>
          <w:numId w:val="1"/>
        </w:numPr>
      </w:pPr>
      <w:r>
        <w:t xml:space="preserve">ใน wireless มี customer concentration กับ Apple สูง (~20% ของรายได้) – ความสัมพันธ์ขึ้นกับสัญญา multi-year ที่ต่ออายุเป็นช่วง</w:t>
      </w:r>
    </w:p>
    <w:p>
      <w:pPr>
        <w:pStyle w:val="ListBullet"/>
        <w:numPr>
          <w:ilvl w:val="0"/>
          <w:numId w:val="1"/>
        </w:numPr>
      </w:pPr>
      <w:r>
        <w:t xml:space="preserve">ใน custom AI silicon มีคู่แข่งคือ Marvell และ in-house design ของลูกค้าเอง</w:t>
      </w:r>
    </w:p>
    <w:p/>
    <w:p>
      <w:pPr>
        <w:pStyle w:val="Heading2"/>
      </w:pPr>
      <w:r>
        <w:t xml:space="preserve">3. Industry Overview (ภาพรวมอุตสาหกรรม)</w:t>
      </w:r>
    </w:p>
    <w:p/>
    <w:p>
      <w:r>
        <w:rPr>
          <w:b/>
        </w:rPr>
        <w:t xml:space="preserve">Key takeaway:</w:t>
      </w:r>
      <w:r>
        <w:t xml:space="preserve"> การลงทุน AI infrastructure เป็นแรงผลักดันหลักของอุตสาหกรรมเซมิคอนดักเตอร์ในรอบนี้ โดย AVGO เป็นหนึ่งใน "picks-and-shovels" ที่ได้ประโยชน์โดยตรงจาก capex ของ hyperscaler</w:t>
      </w:r>
    </w:p>
    <w:p/>
    <w:p>
      <w:pPr>
        <w:pStyle w:val="Heading3"/>
      </w:pPr>
      <w:r>
        <w:t xml:space="preserve">ขนาดตลาดและการเติบโต</w:t>
      </w:r>
    </w:p>
    <w:p>
      <w:pPr>
        <w:pStyle w:val="ListBullet"/>
        <w:numPr>
          <w:ilvl w:val="0"/>
          <w:numId w:val="1"/>
        </w:numPr>
      </w:pPr>
      <w:r>
        <w:t xml:space="preserve">ตลาดเซมิคอนดักเตอร์โลกปี 2024 ~$627B (SIA) คาดเติบโตเป็น $700B+ ในปี 2025</w:t>
      </w:r>
    </w:p>
    <w:p>
      <w:pPr>
        <w:pStyle w:val="ListBullet"/>
        <w:numPr>
          <w:ilvl w:val="0"/>
          <w:numId w:val="1"/>
        </w:numPr>
      </w:pPr>
      <w:r>
        <w:t xml:space="preserve">AI accelerator TAM — Broadcom เองประมาณการ serviceable addressable market สำหรับ custom XPU ของลูกค้า 3 รายหลักที่ราว $60–90B ภายในปี FY2027 (estimate ของบริษัท)</w:t>
      </w:r>
    </w:p>
    <w:p>
      <w:pPr>
        <w:pStyle w:val="ListBullet"/>
        <w:numPr>
          <w:ilvl w:val="0"/>
          <w:numId w:val="1"/>
        </w:numPr>
      </w:pPr>
      <w:r>
        <w:t xml:space="preserve">Data center networking silicon คาดเติบโต ~20%+ CAGR ในช่วง 2024–2028</w:t>
      </w:r>
    </w:p>
    <w:p/>
    <w:p>
      <w:pPr>
        <w:pStyle w:val="Heading3"/>
      </w:pPr>
      <w:r>
        <w:t xml:space="preserve">Competitive Landscape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AI compute:</w:t>
      </w:r>
      <w:r>
        <w:t xml:space="preserve"> NVIDIA ครองตลาด merchant GPU; AVGO และ Marvell แข่งใน custom ASIC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Networking:</w:t>
      </w:r>
      <w:r>
        <w:t xml:space="preserve"> AVGO vs. NVIDIA (Spectrum/InfiniBand), Cisco, Arista (ซึ่งใช้ชิปของ AVGO)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Enterprise software:</w:t>
      </w:r>
      <w:r>
        <w:t xml:space="preserve"> VMware แข่งกับ Red Hat (IBM), Nutanix, public cloud</w:t>
      </w:r>
    </w:p>
    <w:p/>
    <w:p>
      <w:pPr>
        <w:pStyle w:val="Heading3"/>
      </w:pPr>
      <w:r>
        <w:t xml:space="preserve">Regulatory &amp; Geopolitical</w:t>
      </w:r>
    </w:p>
    <w:p>
      <w:pPr>
        <w:pStyle w:val="ListBullet"/>
        <w:numPr>
          <w:ilvl w:val="0"/>
          <w:numId w:val="1"/>
        </w:numPr>
      </w:pPr>
      <w:r>
        <w:t xml:space="preserve">US export controls ต่อจีน — AVGO มี exposure ต่อจีนราว 20% ของรายได้ และต้อง comply กับข้อจำกัดการส่งออกชิป AI ขั้นสูง</w:t>
      </w:r>
    </w:p>
    <w:p>
      <w:pPr>
        <w:pStyle w:val="ListBullet"/>
        <w:numPr>
          <w:ilvl w:val="0"/>
          <w:numId w:val="1"/>
        </w:numPr>
      </w:pPr>
      <w:r>
        <w:t xml:space="preserve">การตรวจสอบของ EU/UK ต่อการเปลี่ยนแปลงนโยบายไลเซนส์ VMware</w:t>
      </w:r>
    </w:p>
    <w:p>
      <w:pPr>
        <w:pStyle w:val="ListBullet"/>
        <w:numPr>
          <w:ilvl w:val="0"/>
          <w:numId w:val="1"/>
        </w:numPr>
      </w:pPr>
      <w:r>
        <w:t xml:space="preserve">ความเสี่ยงจาก Taiwan concentration (TSMC เป็น foundry หลัก)</w:t>
      </w:r>
    </w:p>
    <w:p/>
    <w:p>
      <w:pPr>
        <w:pStyle w:val="Heading2"/>
      </w:pPr>
      <w:r>
        <w:t xml:space="preserve">4. Financial Overview (ภาพรวมการเงิน)</w:t>
      </w:r>
    </w:p>
    <w:p/>
    <w:p>
      <w:r>
        <w:rPr>
          <w:b/>
        </w:rPr>
        <w:t xml:space="preserve">Key takeaway:</w:t>
      </w:r>
      <w:r>
        <w:t xml:space="preserve"> AVGO มี track record ของการเติบโตผ่าน M&amp;A ที่ disciplined บวก margin profile ระดับท็อปของอุตสาหกรรม และคืนทุนผู้ถือหุ้นในระดับสูง แม้ leverage จะเพิ่มหลังดีล VMware</w:t>
      </w:r>
    </w:p>
    <w:p/>
    <w:p>
      <w:pPr>
        <w:pStyle w:val="Heading3"/>
      </w:pPr>
      <w:r>
        <w:t xml:space="preserve">Growth Track Record</w:t>
      </w:r>
    </w:p>
    <w:p>
      <w:pPr>
        <w:pStyle w:val="ListBullet"/>
        <w:numPr>
          <w:ilvl w:val="0"/>
          <w:numId w:val="1"/>
        </w:numPr>
      </w:pPr>
      <w:r>
        <w:t xml:space="preserve">FY2024 revenue: $51.6B (+44% YoY ส่วนใหญ่จากการรวม VMware เต็มปี)</w:t>
      </w:r>
    </w:p>
    <w:p>
      <w:pPr>
        <w:pStyle w:val="ListBullet"/>
        <w:numPr>
          <w:ilvl w:val="0"/>
          <w:numId w:val="1"/>
        </w:numPr>
      </w:pPr>
      <w:r>
        <w:t xml:space="preserve">Q3 FY2025 revenue: ~$16.0B (+22% YoY); ทั้งปี FY2025 consensus ~$63B (estimate)</w:t>
      </w:r>
    </w:p>
    <w:p>
      <w:pPr>
        <w:pStyle w:val="ListBullet"/>
        <w:numPr>
          <w:ilvl w:val="0"/>
          <w:numId w:val="1"/>
        </w:numPr>
      </w:pPr>
      <w:r>
        <w:t xml:space="preserve">AI revenue เติบโต &gt;60% YoY ติดต่อกันหลายไตรมาส</w:t>
      </w:r>
    </w:p>
    <w:p/>
    <w:p>
      <w:pPr>
        <w:pStyle w:val="Heading3"/>
      </w:pPr>
      <w:r>
        <w:t xml:space="preserve">Margin Trends</w:t>
      </w:r>
    </w:p>
    <w:p>
      <w:pPr>
        <w:pStyle w:val="ListBullet"/>
        <w:numPr>
          <w:ilvl w:val="0"/>
          <w:numId w:val="1"/>
        </w:numPr>
      </w:pPr>
      <w:r>
        <w:t xml:space="preserve">Non-GAAP gross margin: ~77% (Q3 FY2025) ปรับขึ้นจาก mix ของซอฟต์แวร์</w:t>
      </w:r>
    </w:p>
    <w:p>
      <w:pPr>
        <w:pStyle w:val="ListBullet"/>
        <w:numPr>
          <w:ilvl w:val="0"/>
          <w:numId w:val="1"/>
        </w:numPr>
      </w:pPr>
      <w:r>
        <w:t xml:space="preserve">Non-GAAP operating margin: ~60%+</w:t>
      </w:r>
    </w:p>
    <w:p>
      <w:pPr>
        <w:pStyle w:val="ListBullet"/>
        <w:numPr>
          <w:ilvl w:val="0"/>
          <w:numId w:val="1"/>
        </w:numPr>
      </w:pPr>
      <w:r>
        <w:t xml:space="preserve">Free cash flow margin: ~40%+ ของรายได้; Q3 FY2025 FCF ~$7.0B</w:t>
      </w:r>
    </w:p>
    <w:p/>
    <w:p>
      <w:pPr>
        <w:pStyle w:val="Heading3"/>
      </w:pPr>
      <w:r>
        <w:t xml:space="preserve">Capital Allocation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เงินปันผล:</w:t>
      </w:r>
      <w:r>
        <w:t xml:space="preserve"> จ่ายปันผลรายไตรมาสที่ $0.59/หุ้น (หลัง 10-for-1 split มิ.ย. 2024) คิดเป็น dividend yield ~1% และมีประวัติเพิ่มต่อเนื่อง 14 ปี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Buybacks:</w:t>
      </w:r>
      <w:r>
        <w:t xml:space="preserve"> อนุมัติโปรแกรม share repurchase $10B ในเม.ย. 2025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Debt paydown:</w:t>
      </w:r>
      <w:r>
        <w:t xml:space="preserve"> หลังดีล VMware มีหนี้สุทธิราว $58B ขณะปิดดีล กำลังลดลงผ่าน FCF (เหลือ ~$50B โดยประมาณ ณ Q3 FY2025)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Capex:</w:t>
      </w:r>
      <w:r>
        <w:t xml:space="preserve"> ค่อนข้างต่ำเพราะเป็น fabless (capex/revenue &lt;1%)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M&amp;A:</w:t>
      </w:r>
      <w:r>
        <w:t xml:space="preserve"> ประวัติยาวจาก LSI, Broadcom Corp, Brocade, CA, Symantec Enterprise, VMware — โดยทุกดีลเน้นตัดต้นทุน, ขึ้นราคา, และโฟกัสลูกค้ารายใหญ่</w:t>
      </w:r>
    </w:p>
    <w:p/>
    <w:p>
      <w:pPr>
        <w:pStyle w:val="Heading2"/>
      </w:pPr>
      <w:r>
        <w:t xml:space="preserve">Risks to Watch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Customer concentration:</w:t>
      </w:r>
      <w:r>
        <w:t xml:space="preserve"> Top-3 ลูกค้า (Apple + 2 hyperscalers) คาดคิดเป็น &gt;35% ของรายได้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AI capex cycle:</w:t>
      </w:r>
      <w:r>
        <w:t xml:space="preserve"> หาก hyperscaler ชะลอการลงทุน custom ASIC จะกระทบ growth narrative โดยตรง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Competition ใน custom silicon:</w:t>
      </w:r>
      <w:r>
        <w:t xml:space="preserve"> จาก Marvell และ in-house design (เช่น Google TPU ที่อาจลดพึ่งพา AVGO)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Geopolitics:</w:t>
      </w:r>
      <w:r>
        <w:t xml:space="preserve"> export controls สู่จีนและ Taiwan/TSMC supply risk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VMware execution:</w:t>
      </w:r>
      <w:r>
        <w:t xml:space="preserve"> การขึ้นราคาและเปลี่ยนเป็น subscription อาจกระตุ้น churn ของ enterprise customers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Valuation:</w:t>
      </w:r>
      <w:r>
        <w:t xml:space="preserve"> AVGO เทรดที่ forward P/E สูง (~35x+ estimate) ทำให้ sensitive ต่อการ miss expectations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Leverage:</w:t>
      </w:r>
      <w:r>
        <w:t xml:space="preserve"> หนี้สุทธิยังอยู่ระดับสูงหลังดีล VMware</w:t>
      </w:r>
    </w:p>
    <w:p/>
    <w:p>
      <w:r>
        <w:rPr>
          <w:i/>
        </w:rPr>
        <w:t xml:space="preserve">รายงานนี้จัดทำเพื่อวัตถุประสงค์ในการให้ข้อมูลเท่านั้น มิใช่คำแนะนำในการลงทุน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00" w:after="140"/>
      <w:outlineLvl w:val="0"/>
    </w:pPr>
    <w:rPr>
      <w:b/>
      <w:color w:val="1A7A4C"/>
      <w:sz w:val="40"/>
    </w:rPr>
  </w:style>
  <w:style w:type="paragraph" w:styleId="Heading2">
    <w:name w:val="heading 2"/>
    <w:basedOn w:val="Normal"/>
    <w:pPr>
      <w:spacing w:before="240" w:after="100"/>
      <w:outlineLvl w:val="1"/>
      <w:pBdr>
        <w:bottom w:val="single" w:sz="6" w:space="2" w:color="1A7A4C"/>
      </w:pBdr>
    </w:pPr>
    <w:rPr>
      <w:b/>
      <w:color w:val="1A7A4C"/>
      <w:sz w:val="28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4"/>
    </w:rPr>
  </w:style>
  <w:style w:type="paragraph" w:styleId="ListBullet">
    <w:name w:val="List Bullet"/>
    <w:basedOn w:val="Normal"/>
    <w:pPr>
      <w:spacing w:after="60"/>
    </w:pPr>
  </w:style>
  <w:style w:type="paragraph" w:styleId="Quote">
    <w:name w:val="Quote"/>
    <w:basedOn w:val="Normal"/>
    <w:rPr>
      <w:i/>
      <w:color w:val="5A5A5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