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7A4C"/>
          <w:sz w:val="18"/>
          <w:szCs w:val="18"/>
        </w:rPr>
        <w:t xml:space="preserve">INITIATING COVERAGE</w:t>
      </w:r>
    </w:p>
    <w:p>
      <w:pPr>
        <w:spacing w:after="20"/>
      </w:pPr>
      <w:r>
        <w:rPr>
          <w:b/>
          <w:bCs/>
          <w:color w:val="1B1B1B"/>
          <w:sz w:val="44"/>
          <w:szCs w:val="44"/>
        </w:rPr>
        <w:t xml:space="preserve">NVIDIA Corporation</w:t>
      </w:r>
    </w:p>
    <w:p>
      <w:pPr>
        <w:spacing w:after="160"/>
      </w:pPr>
      <w:r>
        <w:rPr>
          <w:b/>
          <w:bCs/>
          <w:color w:val="5A5A5A"/>
          <w:sz w:val="22"/>
          <w:szCs w:val="22"/>
        </w:rPr>
        <w:t xml:space="preserve">NASDAQ: NVDA</w:t>
      </w:r>
      <w:r>
        <w:rPr>
          <w:color w:val="5A5A5A"/>
          <w:sz w:val="20"/>
          <w:szCs w:val="20"/>
        </w:rPr>
        <w:t xml:space="preserve">   |   Semiconductors &amp; AI Accelerated Computing</w:t>
      </w:r>
    </w:p>
    <w:p>
      <w:pPr>
        <w:spacing w:after="120" w:line="276"/>
      </w:pPr>
      <w:r>
        <w:rPr>
          <w:i/>
          <w:iCs/>
          <w:color w:val="5A5A5A"/>
          <w:sz w:val="18"/>
          <w:szCs w:val="18"/>
        </w:rPr>
        <w:t xml:space="preserve">Prepared as of 24 May 2026. All financial figures are as reported by the company unless otherwise noted. NVIDIA reports on a fiscal year ending late January; FY2026 ended 25 Jan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7A4C" w:val="clear"/>
            <w:tcMar>
              <w:top w:type="dxa" w:w="70"/>
              <w:left w:type="dxa" w:w="110"/>
              <w:bottom w:type="dxa" w:w="70"/>
              <w:right w:type="dxa" w:w="110"/>
            </w:tcMar>
            <w:vAlign w:val="center"/>
          </w:tcPr>
          <w:p>
            <w:pPr>
              <w:spacing w:after="0" w:line="252"/>
              <w:jc w:val="left"/>
            </w:pPr>
            <w:r>
              <w:rPr>
                <w:b/>
                <w:bCs/>
                <w:color w:val="FFFFFF"/>
                <w:sz w:val="19"/>
                <w:szCs w:val="19"/>
              </w:rPr>
              <w:t xml:space="preserve">Company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NVIDIA Corporation (NASDAQ: NVDA)</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Sector / Industry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Information Technology — Semiconductors &amp; AI Accelerated Computing</w:t>
            </w:r>
          </w:p>
        </w:tc>
      </w:tr>
      <w:tr>
        <w:tc>
          <w:tcPr>
            <w:tcW w:type="dxa" w:w="312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Report Type</w:t>
            </w:r>
          </w:p>
        </w:tc>
        <w:tc>
          <w:tcPr>
            <w:tcW w:type="dxa" w:w="624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Initiating Coverage — Summary</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Latest Reported Period</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Q1 FY2027 (quarter ended 26 Apr 2026, reported 20 May 2026)</w:t>
            </w:r>
          </w:p>
        </w:tc>
      </w:tr>
      <w:tr>
        <w:tc>
          <w:tcPr>
            <w:tcW w:type="dxa" w:w="312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Quarterly Revenue</w:t>
            </w:r>
          </w:p>
        </w:tc>
        <w:tc>
          <w:tcPr>
            <w:tcW w:type="dxa" w:w="624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US$81.6B (+85% YoY, +20% QoQ)</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FY2026 Revenue</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US$215.9B (+65% YoY)</w:t>
            </w:r>
          </w:p>
        </w:tc>
      </w:tr>
      <w:tr>
        <w:tc>
          <w:tcPr>
            <w:tcW w:type="dxa" w:w="312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GAAP Gross Margin (Q1 FY27)</w:t>
            </w:r>
          </w:p>
        </w:tc>
        <w:tc>
          <w:tcPr>
            <w:tcW w:type="dxa" w:w="624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74.9%</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Capital Return Policy</w:t>
            </w:r>
          </w:p>
        </w:tc>
        <w:tc>
          <w:tcPr>
            <w:tcW w:type="dxa" w:w="624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Dividend raised to $0.25/qtr (from $0.01); +$80B buyback authorization</w:t>
            </w:r>
          </w:p>
        </w:tc>
      </w:tr>
    </w:tbl>
    <w:p>
      <w:pPr>
        <w:spacing w:after="120"/>
      </w:pPr>
    </w:p>
    <w:p>
      <w:pPr>
        <w:pStyle w:val="Heading1"/>
      </w:pPr>
      <w:r>
        <w:t xml:space="preserve">1. Business Description</w:t>
      </w:r>
    </w:p>
    <w:p>
      <w:pPr>
        <w:pBdr>
          <w:left w:val="single" w:color="1A7A4C" w:sz="18" w:space="8"/>
        </w:pBdr>
        <w:shd w:fill="EAF4EE" w:val="clear"/>
        <w:spacing w:after="140" w:before="60" w:line="276"/>
        <w:ind w:left="160"/>
      </w:pPr>
      <w:r>
        <w:rPr>
          <w:b/>
          <w:bCs/>
          <w:color w:val="1A7A4C"/>
        </w:rPr>
        <w:t xml:space="preserve">Key takeaway: </w:t>
      </w:r>
      <w:r>
        <w:t xml:space="preserve">NVIDIA is no longer a “chip company” — it sells full-stack, rack-scale AI computing systems, and roughly nine of every ten revenue dollars now come from the data center.</w:t>
      </w:r>
    </w:p>
    <w:p>
      <w:pPr>
        <w:spacing w:after="120" w:line="276"/>
      </w:pPr>
      <w:r>
        <w:t xml:space="preserve">NVIDIA designs accelerated-computing platforms built around its graphics processing units (GPUs). What began as a 3D-graphics business has evolved into the dominant supplier of the compute infrastructure used to train and run artificial-intelligence models. The company increasingly sells integrated systems — combining GPUs, CPUs, high-speed networking, and a deep software stack — rather than standalone chips.</w:t>
      </w:r>
    </w:p>
    <w:p>
      <w:pPr>
        <w:pStyle w:val="Heading2"/>
      </w:pPr>
      <w:r>
        <w:t xml:space="preserve">How the company makes money</w:t>
      </w:r>
    </w:p>
    <w:p>
      <w:pPr>
        <w:pStyle w:val="ListParagraph"/>
        <w:numPr>
          <w:ilvl w:val="0"/>
          <w:numId w:val="2"/>
        </w:numPr>
        <w:spacing w:after="80" w:line="276"/>
      </w:pPr>
      <w:r>
        <w:rPr>
          <w:b/>
          <w:bCs/>
        </w:rPr>
        <w:t xml:space="preserve">Data Center (~90% of revenue): </w:t>
      </w:r>
      <w:r>
        <w:t xml:space="preserve">GPUs (Hopper, Blackwell, and the forthcoming Vera Rubin platform), networking (NVLink, InfiniBand, Spectrum-X Ethernet), and rack-scale systems such as the NVL72. Q1 FY2027 data-center revenue reached a record US$75.2B, up 92% year over year.</w:t>
      </w:r>
    </w:p>
    <w:p>
      <w:pPr>
        <w:pStyle w:val="ListParagraph"/>
        <w:numPr>
          <w:ilvl w:val="0"/>
          <w:numId w:val="2"/>
        </w:numPr>
        <w:spacing w:after="80" w:line="276"/>
      </w:pPr>
      <w:r>
        <w:rPr>
          <w:b/>
          <w:bCs/>
        </w:rPr>
        <w:t xml:space="preserve">Gaming: </w:t>
      </w:r>
      <w:r>
        <w:t xml:space="preserve">GeForce GPUs for PC gaming; FY2026 revenue of roughly US$16.0B, up sharply on Blackwell-generation demand.</w:t>
      </w:r>
    </w:p>
    <w:p>
      <w:pPr>
        <w:pStyle w:val="ListParagraph"/>
        <w:numPr>
          <w:ilvl w:val="0"/>
          <w:numId w:val="2"/>
        </w:numPr>
        <w:spacing w:after="80" w:line="276"/>
      </w:pPr>
      <w:r>
        <w:rPr>
          <w:b/>
          <w:bCs/>
        </w:rPr>
        <w:t xml:space="preserve">Professional Visualization: </w:t>
      </w:r>
      <w:r>
        <w:t xml:space="preserve">Workstation GPUs for design, simulation, and content creation (~US$3.2B in FY2026).</w:t>
      </w:r>
    </w:p>
    <w:p>
      <w:pPr>
        <w:pStyle w:val="ListParagraph"/>
        <w:numPr>
          <w:ilvl w:val="0"/>
          <w:numId w:val="2"/>
        </w:numPr>
        <w:spacing w:after="80" w:line="276"/>
      </w:pPr>
      <w:r>
        <w:rPr>
          <w:b/>
          <w:bCs/>
        </w:rPr>
        <w:t xml:space="preserve">Automotive &amp; Robotics: </w:t>
      </w:r>
      <w:r>
        <w:t xml:space="preserve">Chips and platforms for autonomous driving and physical AI (~US$2.4B in FY2026).</w:t>
      </w:r>
    </w:p>
    <w:p>
      <w:pPr>
        <w:pStyle w:val="ListParagraph"/>
        <w:numPr>
          <w:ilvl w:val="0"/>
          <w:numId w:val="2"/>
        </w:numPr>
        <w:spacing w:after="80" w:line="276"/>
      </w:pPr>
      <w:r>
        <w:rPr>
          <w:b/>
          <w:bCs/>
        </w:rPr>
        <w:t xml:space="preserve">OEM &amp; Other: </w:t>
      </w:r>
      <w:r>
        <w:t xml:space="preserve">Smallest segment; embedded and licensing-type revenue.</w:t>
      </w:r>
    </w:p>
    <w:p>
      <w:pPr>
        <w:spacing w:after="120" w:line="276"/>
      </w:pPr>
      <w:r>
        <w:t xml:space="preserve">From Q1 FY2027 the company is moving to a simplified reporting framework of two platforms: </w:t>
      </w:r>
      <w:r>
        <w:rPr>
          <w:b/>
          <w:bCs/>
        </w:rPr>
        <w:t xml:space="preserve">Data Center</w:t>
      </w:r>
      <w:r>
        <w:t xml:space="preserve"> (split into Hyperscale and “ACIE” — AI clouds, industrial, and enterprise) and </w:t>
      </w:r>
      <w:r>
        <w:rPr>
          <w:b/>
          <w:bCs/>
        </w:rPr>
        <w:t xml:space="preserve">Edge Computing</w:t>
      </w:r>
      <w:r>
        <w:t xml:space="preserve"> (PCs, consoles, workstations, AI-RAN, robotics, and automotive). Notably, the ACIE bucket has grown to roughly the same size as hyperscaler revenue, signalling a broadening — not narrowing — customer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A7A4C" w:val="clear"/>
            <w:tcMar>
              <w:top w:type="dxa" w:w="70"/>
              <w:left w:type="dxa" w:w="110"/>
              <w:bottom w:type="dxa" w:w="70"/>
              <w:right w:type="dxa" w:w="110"/>
            </w:tcMar>
            <w:vAlign w:val="center"/>
          </w:tcPr>
          <w:p>
            <w:pPr>
              <w:spacing w:after="0" w:line="252"/>
              <w:jc w:val="left"/>
            </w:pPr>
            <w:r>
              <w:rPr>
                <w:b/>
                <w:bCs/>
                <w:color w:val="FFFFFF"/>
                <w:sz w:val="19"/>
                <w:szCs w:val="19"/>
              </w:rPr>
              <w:t xml:space="preserve">Segment</w:t>
            </w:r>
          </w:p>
        </w:tc>
        <w:tc>
          <w:tcPr>
            <w:tcW w:type="dxa" w:w="2000"/>
            <w:tcBorders>
              <w:top w:val="single" w:color="CCCCCC" w:sz="1"/>
              <w:left w:val="single" w:color="CCCCCC" w:sz="1"/>
              <w:bottom w:val="single" w:color="CCCCCC" w:sz="1"/>
              <w:right w:val="single" w:color="CCCCCC" w:sz="1"/>
            </w:tcBorders>
            <w:shd w:fill="1A7A4C" w:val="clear"/>
            <w:tcMar>
              <w:top w:type="dxa" w:w="70"/>
              <w:left w:type="dxa" w:w="110"/>
              <w:bottom w:type="dxa" w:w="70"/>
              <w:right w:type="dxa" w:w="110"/>
            </w:tcMar>
            <w:vAlign w:val="center"/>
          </w:tcPr>
          <w:p>
            <w:pPr>
              <w:spacing w:after="0" w:line="252"/>
              <w:jc w:val="right"/>
            </w:pPr>
            <w:r>
              <w:rPr>
                <w:b/>
                <w:bCs/>
                <w:color w:val="FFFFFF"/>
                <w:sz w:val="19"/>
                <w:szCs w:val="19"/>
              </w:rPr>
              <w:t xml:space="preserve">FY2025</w:t>
            </w:r>
          </w:p>
        </w:tc>
        <w:tc>
          <w:tcPr>
            <w:tcW w:type="dxa" w:w="2000"/>
            <w:tcBorders>
              <w:top w:val="single" w:color="CCCCCC" w:sz="1"/>
              <w:left w:val="single" w:color="CCCCCC" w:sz="1"/>
              <w:bottom w:val="single" w:color="CCCCCC" w:sz="1"/>
              <w:right w:val="single" w:color="CCCCCC" w:sz="1"/>
            </w:tcBorders>
            <w:shd w:fill="1A7A4C" w:val="clear"/>
            <w:tcMar>
              <w:top w:type="dxa" w:w="70"/>
              <w:left w:type="dxa" w:w="110"/>
              <w:bottom w:type="dxa" w:w="70"/>
              <w:right w:type="dxa" w:w="110"/>
            </w:tcMar>
            <w:vAlign w:val="center"/>
          </w:tcPr>
          <w:p>
            <w:pPr>
              <w:spacing w:after="0" w:line="252"/>
              <w:jc w:val="right"/>
            </w:pPr>
            <w:r>
              <w:rPr>
                <w:b/>
                <w:bCs/>
                <w:color w:val="FFFFFF"/>
                <w:sz w:val="19"/>
                <w:szCs w:val="19"/>
              </w:rPr>
              <w:t xml:space="preserve">FY2026</w:t>
            </w:r>
          </w:p>
        </w:tc>
        <w:tc>
          <w:tcPr>
            <w:tcW w:type="dxa" w:w="2000"/>
            <w:tcBorders>
              <w:top w:val="single" w:color="CCCCCC" w:sz="1"/>
              <w:left w:val="single" w:color="CCCCCC" w:sz="1"/>
              <w:bottom w:val="single" w:color="CCCCCC" w:sz="1"/>
              <w:right w:val="single" w:color="CCCCCC" w:sz="1"/>
            </w:tcBorders>
            <w:shd w:fill="1A7A4C" w:val="clear"/>
            <w:tcMar>
              <w:top w:type="dxa" w:w="70"/>
              <w:left w:type="dxa" w:w="110"/>
              <w:bottom w:type="dxa" w:w="70"/>
              <w:right w:type="dxa" w:w="110"/>
            </w:tcMar>
            <w:vAlign w:val="center"/>
          </w:tcPr>
          <w:p>
            <w:pPr>
              <w:spacing w:after="0" w:line="252"/>
              <w:jc w:val="right"/>
            </w:pPr>
            <w:r>
              <w:rPr>
                <w:b/>
                <w:bCs/>
                <w:color w:val="FFFFFF"/>
                <w:sz w:val="19"/>
                <w:szCs w:val="19"/>
              </w:rPr>
              <w:t xml:space="preserve">% of FY26</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Data Center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$115.2B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$193.7B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89.7%</w:t>
            </w:r>
          </w:p>
        </w:tc>
      </w:tr>
      <w:tr>
        <w:tc>
          <w:tcPr>
            <w:tcW w:type="dxa" w:w="336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Gaming</w:t>
            </w:r>
          </w:p>
        </w:tc>
        <w:tc>
          <w:tcPr>
            <w:tcW w:type="dxa" w:w="200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$11.4B</w:t>
            </w:r>
          </w:p>
        </w:tc>
        <w:tc>
          <w:tcPr>
            <w:tcW w:type="dxa" w:w="200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$16.0B</w:t>
            </w:r>
          </w:p>
        </w:tc>
        <w:tc>
          <w:tcPr>
            <w:tcW w:type="dxa" w:w="200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7.4%</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Professional Visualization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$1.9B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$3.2B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1.5%</w:t>
            </w:r>
          </w:p>
        </w:tc>
      </w:tr>
      <w:tr>
        <w:tc>
          <w:tcPr>
            <w:tcW w:type="dxa" w:w="336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Automotive</w:t>
            </w:r>
          </w:p>
        </w:tc>
        <w:tc>
          <w:tcPr>
            <w:tcW w:type="dxa" w:w="200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$1.7B</w:t>
            </w:r>
          </w:p>
        </w:tc>
        <w:tc>
          <w:tcPr>
            <w:tcW w:type="dxa" w:w="200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$2.4B</w:t>
            </w:r>
          </w:p>
        </w:tc>
        <w:tc>
          <w:tcPr>
            <w:tcW w:type="dxa" w:w="2000"/>
            <w:tcBorders>
              <w:top w:val="single" w:color="CCCCCC" w:sz="1"/>
              <w:left w:val="single" w:color="CCCCCC" w:sz="1"/>
              <w:bottom w:val="single" w:color="CCCCCC" w:sz="1"/>
              <w:right w:val="single" w:color="CCCCCC" w:sz="1"/>
            </w:tcBorders>
            <w:shd w:fill="F4F8F5"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1.1%</w:t>
            </w:r>
          </w:p>
        </w:tc>
      </w:tr>
      <w:tr>
        <w:tc>
          <w:tcPr>
            <w:tcW w:type="dxa" w:w="3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OEM &amp; Other</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$0.4B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$0.6B</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0.3%</w:t>
            </w:r>
          </w:p>
        </w:tc>
      </w:tr>
      <w:tr>
        <w:tc>
          <w:tcPr>
            <w:tcW w:type="dxa" w:w="3360"/>
            <w:tcBorders>
              <w:top w:val="single" w:color="CCCCCC" w:sz="1"/>
              <w:left w:val="single" w:color="CCCCCC" w:sz="1"/>
              <w:bottom w:val="single" w:color="CCCCCC" w:sz="1"/>
              <w:right w:val="single" w:color="CCCCCC" w:sz="1"/>
            </w:tcBorders>
            <w:shd w:fill="EAF4EE" w:val="clear"/>
            <w:tcMar>
              <w:top w:type="dxa" w:w="70"/>
              <w:left w:type="dxa" w:w="110"/>
              <w:bottom w:type="dxa" w:w="70"/>
              <w:right w:type="dxa" w:w="110"/>
            </w:tcMar>
            <w:vAlign w:val="center"/>
          </w:tcPr>
          <w:p>
            <w:pPr>
              <w:spacing w:after="0" w:line="252"/>
              <w:jc w:val="left"/>
            </w:pPr>
            <w:r>
              <w:rPr>
                <w:b w:val="false"/>
                <w:bCs w:val="false"/>
                <w:color w:val="1B1B1B"/>
                <w:sz w:val="19"/>
                <w:szCs w:val="19"/>
              </w:rPr>
              <w:t xml:space="preserve">Total</w:t>
            </w:r>
          </w:p>
        </w:tc>
        <w:tc>
          <w:tcPr>
            <w:tcW w:type="dxa" w:w="2000"/>
            <w:tcBorders>
              <w:top w:val="single" w:color="CCCCCC" w:sz="1"/>
              <w:left w:val="single" w:color="CCCCCC" w:sz="1"/>
              <w:bottom w:val="single" w:color="CCCCCC" w:sz="1"/>
              <w:right w:val="single" w:color="CCCCCC" w:sz="1"/>
            </w:tcBorders>
            <w:shd w:fill="EAF4EE"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$130.5B</w:t>
            </w:r>
          </w:p>
        </w:tc>
        <w:tc>
          <w:tcPr>
            <w:tcW w:type="dxa" w:w="2000"/>
            <w:tcBorders>
              <w:top w:val="single" w:color="CCCCCC" w:sz="1"/>
              <w:left w:val="single" w:color="CCCCCC" w:sz="1"/>
              <w:bottom w:val="single" w:color="CCCCCC" w:sz="1"/>
              <w:right w:val="single" w:color="CCCCCC" w:sz="1"/>
            </w:tcBorders>
            <w:shd w:fill="EAF4EE"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$215.9B</w:t>
            </w:r>
          </w:p>
        </w:tc>
        <w:tc>
          <w:tcPr>
            <w:tcW w:type="dxa" w:w="2000"/>
            <w:tcBorders>
              <w:top w:val="single" w:color="CCCCCC" w:sz="1"/>
              <w:left w:val="single" w:color="CCCCCC" w:sz="1"/>
              <w:bottom w:val="single" w:color="CCCCCC" w:sz="1"/>
              <w:right w:val="single" w:color="CCCCCC" w:sz="1"/>
            </w:tcBorders>
            <w:shd w:fill="EAF4EE" w:val="clear"/>
            <w:tcMar>
              <w:top w:type="dxa" w:w="70"/>
              <w:left w:type="dxa" w:w="110"/>
              <w:bottom w:type="dxa" w:w="70"/>
              <w:right w:type="dxa" w:w="110"/>
            </w:tcMar>
            <w:vAlign w:val="center"/>
          </w:tcPr>
          <w:p>
            <w:pPr>
              <w:spacing w:after="0" w:line="252"/>
              <w:jc w:val="right"/>
            </w:pPr>
            <w:r>
              <w:rPr>
                <w:b w:val="false"/>
                <w:bCs w:val="false"/>
                <w:color w:val="1B1B1B"/>
                <w:sz w:val="19"/>
                <w:szCs w:val="19"/>
              </w:rPr>
              <w:t xml:space="preserve">100%</w:t>
            </w:r>
          </w:p>
        </w:tc>
      </w:tr>
    </w:tbl>
    <w:p>
      <w:pPr>
        <w:spacing w:after="160" w:before="60"/>
      </w:pPr>
      <w:r>
        <w:rPr>
          <w:i/>
          <w:iCs/>
          <w:color w:val="5A5A5A"/>
          <w:sz w:val="16"/>
          <w:szCs w:val="16"/>
        </w:rPr>
        <w:t xml:space="preserve">Source: company filings (FY2026 segment disclosure). Figures rounded.</w:t>
      </w:r>
    </w:p>
    <w:p>
      <w:pPr>
        <w:pStyle w:val="Heading1"/>
      </w:pPr>
      <w:r>
        <w:t xml:space="preserve">2. Competitive Moat</w:t>
      </w:r>
    </w:p>
    <w:p>
      <w:pPr>
        <w:pBdr>
          <w:left w:val="single" w:color="1A7A4C" w:sz="18" w:space="8"/>
        </w:pBdr>
        <w:shd w:fill="EAF4EE" w:val="clear"/>
        <w:spacing w:after="140" w:before="60" w:line="276"/>
        <w:ind w:left="160"/>
      </w:pPr>
      <w:r>
        <w:rPr>
          <w:b/>
          <w:bCs/>
          <w:color w:val="1A7A4C"/>
        </w:rPr>
        <w:t xml:space="preserve">Key takeaway: </w:t>
      </w:r>
      <w:r>
        <w:t xml:space="preserve">NVIDIA’s durable advantage is not the silicon alone but the CUDA software ecosystem and full-stack integration that together raise switching costs and sustain ~75% gross margins.</w:t>
      </w:r>
    </w:p>
    <w:p>
      <w:pPr>
        <w:pStyle w:val="Heading2"/>
      </w:pPr>
      <w:r>
        <w:t xml:space="preserve">Switching costs &amp; software lock-in (the CUDA ecosystem)</w:t>
      </w:r>
    </w:p>
    <w:p>
      <w:pPr>
        <w:pStyle w:val="ListParagraph"/>
        <w:numPr>
          <w:ilvl w:val="0"/>
          <w:numId w:val="2"/>
        </w:numPr>
        <w:spacing w:after="80" w:line="276"/>
      </w:pPr>
      <w:r>
        <w:t xml:space="preserve">CUDA is NVIDIA’s proprietary parallel-computing platform. Nearly two decades of developer adoption, libraries, and tooling mean most AI frameworks are optimized for NVIDIA first. Migrating workloads to a rival architecture is costly and risky — the strongest pillar of the moat.</w:t>
      </w:r>
    </w:p>
    <w:p>
      <w:pPr>
        <w:pStyle w:val="Heading2"/>
      </w:pPr>
      <w:r>
        <w:t xml:space="preserve">Full-stack / system integration</w:t>
      </w:r>
    </w:p>
    <w:p>
      <w:pPr>
        <w:pStyle w:val="ListParagraph"/>
        <w:numPr>
          <w:ilvl w:val="0"/>
          <w:numId w:val="2"/>
        </w:numPr>
        <w:spacing w:after="80" w:line="276"/>
      </w:pPr>
      <w:r>
        <w:t xml:space="preserve">The company increasingly sells complete rack-scale systems (GPU + CPU + NVLink/networking + software). This vertical integration is hard for merchant-chip competitors to replicate and lets NVIDIA capture more value per deployment.</w:t>
      </w:r>
    </w:p>
    <w:p>
      <w:pPr>
        <w:pStyle w:val="Heading2"/>
      </w:pPr>
      <w:r>
        <w:t xml:space="preserve">Intellectual property &amp; R&amp;D cadence</w:t>
      </w:r>
    </w:p>
    <w:p>
      <w:pPr>
        <w:pStyle w:val="ListParagraph"/>
        <w:numPr>
          <w:ilvl w:val="0"/>
          <w:numId w:val="2"/>
        </w:numPr>
        <w:spacing w:after="80" w:line="276"/>
      </w:pPr>
      <w:r>
        <w:t xml:space="preserve">An aggressive roughly-annual product cadence (Hopper → Blackwell → Vera Rubin) keeps NVIDIA ahead on performance-per-watt, a critical metric as data-center power becomes the binding constraint.</w:t>
      </w:r>
    </w:p>
    <w:p>
      <w:pPr>
        <w:pStyle w:val="Heading2"/>
      </w:pPr>
      <w:r>
        <w:t xml:space="preserve">Scale &amp; supply-chain priority</w:t>
      </w:r>
    </w:p>
    <w:p>
      <w:pPr>
        <w:pStyle w:val="ListParagraph"/>
        <w:numPr>
          <w:ilvl w:val="0"/>
          <w:numId w:val="2"/>
        </w:numPr>
        <w:spacing w:after="80" w:line="276"/>
      </w:pPr>
      <w:r>
        <w:t xml:space="preserve">Privileged access to advanced packaging capacity (e.g., TSMC CoWoS) and high-bandwidth memory gives NVIDIA a supply advantage that smaller rivals struggle to match.</w:t>
      </w:r>
    </w:p>
    <w:p>
      <w:pPr>
        <w:pStyle w:val="Heading2"/>
      </w:pPr>
      <w:r>
        <w:t xml:space="preserve">Brand &amp; ecosystem network effects</w:t>
      </w:r>
    </w:p>
    <w:p>
      <w:pPr>
        <w:pStyle w:val="ListParagraph"/>
        <w:numPr>
          <w:ilvl w:val="0"/>
          <w:numId w:val="2"/>
        </w:numPr>
        <w:spacing w:after="80" w:line="276"/>
      </w:pPr>
      <w:r>
        <w:t xml:space="preserve">“NVIDIA-compatible” has become the default for AI infrastructure; the more developers build on the platform, the more valuable it becomes — a self-reinforcing network effect.</w:t>
      </w:r>
    </w:p>
    <w:p>
      <w:pPr>
        <w:pBdr>
          <w:left w:val="single" w:color="1A7A4C" w:sz="18" w:space="8"/>
        </w:pBdr>
        <w:shd w:fill="EAF4EE" w:val="clear"/>
        <w:spacing w:after="140" w:before="60" w:line="276"/>
        <w:ind w:left="160"/>
      </w:pPr>
      <w:r>
        <w:rPr>
          <w:b/>
          <w:bCs/>
          <w:color w:val="1A7A4C"/>
        </w:rPr>
        <w:t xml:space="preserve">Risk to the moat: </w:t>
      </w:r>
      <w:r>
        <w:t xml:space="preserve">Hyperscaler custom silicon (Google TPU, AWS Trainium, Microsoft Maia), AMD’s Instinct/ROCm push, and the fast-growing custom-ASIC segment are the main long-term threats to NVIDIA’s share and pricing power.</w:t>
      </w:r>
    </w:p>
    <w:p>
      <w:pPr>
        <w:pStyle w:val="Heading1"/>
      </w:pPr>
      <w:r>
        <w:t xml:space="preserve">3. Industry Overview</w:t>
      </w:r>
    </w:p>
    <w:p>
      <w:pPr>
        <w:pBdr>
          <w:left w:val="single" w:color="1A7A4C" w:sz="18" w:space="8"/>
        </w:pBdr>
        <w:shd w:fill="EAF4EE" w:val="clear"/>
        <w:spacing w:after="140" w:before="60" w:line="276"/>
        <w:ind w:left="160"/>
      </w:pPr>
      <w:r>
        <w:rPr>
          <w:b/>
          <w:bCs/>
          <w:color w:val="1A7A4C"/>
        </w:rPr>
        <w:t xml:space="preserve">Key takeaway: </w:t>
      </w:r>
      <w:r>
        <w:t xml:space="preserve">NVIDIA sits at the centre of one of the largest infrastructure build-outs in history; the AI-accelerator market is widely forecast to reach the high-hundreds of billions of dollars by the early 2030s.</w:t>
      </w:r>
    </w:p>
    <w:p>
      <w:pPr>
        <w:pStyle w:val="Heading2"/>
      </w:pPr>
      <w:r>
        <w:t xml:space="preserve">Market size &amp; growth</w:t>
      </w:r>
    </w:p>
    <w:p>
      <w:pPr>
        <w:pStyle w:val="ListParagraph"/>
        <w:numPr>
          <w:ilvl w:val="0"/>
          <w:numId w:val="2"/>
        </w:numPr>
        <w:spacing w:after="80" w:line="276"/>
      </w:pPr>
      <w:r>
        <w:t xml:space="preserve">Independent forecasts vary but agree on the trajectory. Bloomberg Intelligence projects the AI-accelerator market growing at roughly a 16% CAGR to about US$604B by 2033 (from ~US$116B in 2024); other research houses model 25–37% CAGRs reaching several hundred billion dollars by 2030.</w:t>
      </w:r>
    </w:p>
    <w:p>
      <w:pPr>
        <w:pStyle w:val="ListParagraph"/>
        <w:numPr>
          <w:ilvl w:val="0"/>
          <w:numId w:val="2"/>
        </w:numPr>
        <w:spacing w:after="80" w:line="276"/>
      </w:pPr>
      <w:r>
        <w:t xml:space="preserve">GPUs are expected to remain the dominant form factor (the majority of the accelerator market through the early 2030s), while custom ASICs are the fastest-growing sub-segment.</w:t>
      </w:r>
    </w:p>
    <w:p>
      <w:pPr>
        <w:pStyle w:val="ListParagraph"/>
        <w:numPr>
          <w:ilvl w:val="0"/>
          <w:numId w:val="2"/>
        </w:numPr>
        <w:spacing w:after="80" w:line="276"/>
      </w:pPr>
      <w:r>
        <w:t xml:space="preserve">Aggregate AI-infrastructure investment is projected to run into the trillions of dollars this decade; combined hyperscaler capital expenditure for the year has been estimated to approach US$700B.</w:t>
      </w:r>
    </w:p>
    <w:p>
      <w:pPr>
        <w:pStyle w:val="Heading2"/>
      </w:pPr>
      <w:r>
        <w:t xml:space="preserve">Competitive landscape</w:t>
      </w:r>
    </w:p>
    <w:p>
      <w:pPr>
        <w:pStyle w:val="ListParagraph"/>
        <w:numPr>
          <w:ilvl w:val="0"/>
          <w:numId w:val="2"/>
        </w:numPr>
        <w:spacing w:after="80" w:line="276"/>
      </w:pPr>
      <w:r>
        <w:rPr>
          <w:b/>
          <w:bCs/>
        </w:rPr>
        <w:t xml:space="preserve">NVIDIA: </w:t>
      </w:r>
      <w:r>
        <w:t xml:space="preserve">estimated ~70–80% of the AI-accelerator market, expected to hold roughly 70–75% through 2030.</w:t>
      </w:r>
    </w:p>
    <w:p>
      <w:pPr>
        <w:pStyle w:val="ListParagraph"/>
        <w:numPr>
          <w:ilvl w:val="0"/>
          <w:numId w:val="2"/>
        </w:numPr>
        <w:spacing w:after="80" w:line="276"/>
      </w:pPr>
      <w:r>
        <w:rPr>
          <w:b/>
          <w:bCs/>
        </w:rPr>
        <w:t xml:space="preserve">AMD: </w:t>
      </w:r>
      <w:r>
        <w:t xml:space="preserve">the credible second source (Instinct GPUs, ROCm software), positioned for a low-double-digit share by decade-end.</w:t>
      </w:r>
    </w:p>
    <w:p>
      <w:pPr>
        <w:pStyle w:val="ListParagraph"/>
        <w:numPr>
          <w:ilvl w:val="0"/>
          <w:numId w:val="2"/>
        </w:numPr>
        <w:spacing w:after="80" w:line="276"/>
      </w:pPr>
      <w:r>
        <w:rPr>
          <w:b/>
          <w:bCs/>
        </w:rPr>
        <w:t xml:space="preserve">Hyperscaler custom silicon: </w:t>
      </w:r>
      <w:r>
        <w:t xml:space="preserve">Google (TPU), Amazon (Trainium/Inferentia), Microsoft (Maia) — internal chips that gradually erode merchant-GPU share.</w:t>
      </w:r>
    </w:p>
    <w:p>
      <w:pPr>
        <w:pStyle w:val="ListParagraph"/>
        <w:numPr>
          <w:ilvl w:val="0"/>
          <w:numId w:val="2"/>
        </w:numPr>
        <w:spacing w:after="80" w:line="276"/>
      </w:pPr>
      <w:r>
        <w:rPr>
          <w:b/>
          <w:bCs/>
        </w:rPr>
        <w:t xml:space="preserve">Others: </w:t>
      </w:r>
      <w:r>
        <w:t xml:space="preserve">Intel (Gaudi), Broadcom and Marvell (custom ASIC enablers), plus specialists such as Cerebras and Groq.</w:t>
      </w:r>
    </w:p>
    <w:p>
      <w:pPr>
        <w:pStyle w:val="Heading2"/>
      </w:pPr>
      <w:r>
        <w:t xml:space="preserve">Regulatory &amp; geopolitical trends</w:t>
      </w:r>
    </w:p>
    <w:p>
      <w:pPr>
        <w:pStyle w:val="ListParagraph"/>
        <w:numPr>
          <w:ilvl w:val="0"/>
          <w:numId w:val="2"/>
        </w:numPr>
        <w:spacing w:after="80" w:line="276"/>
      </w:pPr>
      <w:r>
        <w:t xml:space="preserve">U.S. export controls on advanced AI chips to China remain a material overhang. NVIDIA assumes no data-center compute revenue from China in its guidance, and reported no data-center Hopper shipments to China in Q1 FY2027 (versus US$4.6B a year earlier).</w:t>
      </w:r>
    </w:p>
    <w:p>
      <w:pPr>
        <w:pStyle w:val="ListParagraph"/>
        <w:numPr>
          <w:ilvl w:val="0"/>
          <w:numId w:val="2"/>
        </w:numPr>
        <w:spacing w:after="80" w:line="276"/>
      </w:pPr>
      <w:r>
        <w:t xml:space="preserve">Concentration of supply (advanced packaging, HBM) and rising data-center power demand are emerging structural and policy constraints for the whole industry.</w:t>
      </w:r>
    </w:p>
    <w:p>
      <w:pPr>
        <w:pStyle w:val="Heading1"/>
      </w:pPr>
      <w:r>
        <w:t xml:space="preserve">4. Financial Overview</w:t>
      </w:r>
    </w:p>
    <w:p>
      <w:pPr>
        <w:pBdr>
          <w:left w:val="single" w:color="1A7A4C" w:sz="18" w:space="8"/>
        </w:pBdr>
        <w:shd w:fill="EAF4EE" w:val="clear"/>
        <w:spacing w:after="140" w:before="60" w:line="276"/>
        <w:ind w:left="160"/>
      </w:pPr>
      <w:r>
        <w:rPr>
          <w:b/>
          <w:bCs/>
          <w:color w:val="1A7A4C"/>
        </w:rPr>
        <w:t xml:space="preserve">Key takeaway: </w:t>
      </w:r>
      <w:r>
        <w:t xml:space="preserve">Hyper-growth with rare profitability: ~75% gross margins, ~70% operating margins, and tens of billions in quarterly free cash flow now funding a sharply expanded capital-return program.</w:t>
      </w:r>
    </w:p>
    <w:p>
      <w:pPr>
        <w:pStyle w:val="Heading2"/>
      </w:pPr>
      <w:r>
        <w:t xml:space="preserve">Margin trends</w:t>
      </w:r>
    </w:p>
    <w:p>
      <w:pPr>
        <w:pStyle w:val="ListParagraph"/>
        <w:numPr>
          <w:ilvl w:val="0"/>
          <w:numId w:val="2"/>
        </w:numPr>
        <w:spacing w:after="80" w:line="276"/>
      </w:pPr>
      <w:r>
        <w:t xml:space="preserve">Gross margin has been exceptionally high and stable for a hardware company: FY2026 GAAP gross margin was ~71%, and quarterly GAAP gross margin held at ~75% through Q4 FY2026 and Q1 FY2027 — evidence that pricing power has been retained even as Blackwell scaled into volume production.</w:t>
      </w:r>
    </w:p>
    <w:p>
      <w:pPr>
        <w:pStyle w:val="ListParagraph"/>
        <w:numPr>
          <w:ilvl w:val="0"/>
          <w:numId w:val="2"/>
        </w:numPr>
        <w:spacing w:after="80" w:line="276"/>
      </w:pPr>
      <w:r>
        <w:t xml:space="preserve">Operating leverage is striking: Q1 FY2027 GAAP operating income was ~US$53.5B on US$81.6B of revenue (~66% operating margin), with net income of ~US$58.3B. Operating expenses are rising (GAAP opex +52% YoY) as the company invests, but remain small relative to revenue.</w:t>
      </w:r>
    </w:p>
    <w:p>
      <w:pPr>
        <w:pStyle w:val="Heading2"/>
      </w:pPr>
      <w:r>
        <w:t xml:space="preserve">Growth track record</w:t>
      </w:r>
    </w:p>
    <w:p>
      <w:pPr>
        <w:pStyle w:val="ListParagraph"/>
        <w:numPr>
          <w:ilvl w:val="0"/>
          <w:numId w:val="2"/>
        </w:numPr>
        <w:spacing w:after="80" w:line="276"/>
      </w:pPr>
      <w:r>
        <w:t xml:space="preserve">Revenue scaled from ~US$130.5B (FY2025) to US$215.9B (FY2026, +65%), then to a US$81.6B quarterly run-rate in Q1 FY2027 (+85% YoY). Q2 FY2027 revenue is guided to ~US$91.0B.</w:t>
      </w:r>
    </w:p>
    <w:p>
      <w:pPr>
        <w:pStyle w:val="Heading2"/>
      </w:pPr>
      <w:r>
        <w:t xml:space="preserve">Capital allocation</w:t>
      </w:r>
    </w:p>
    <w:p>
      <w:pPr>
        <w:pStyle w:val="ListParagraph"/>
        <w:numPr>
          <w:ilvl w:val="0"/>
          <w:numId w:val="2"/>
        </w:numPr>
        <w:spacing w:after="80" w:line="276"/>
      </w:pPr>
      <w:r>
        <w:t xml:space="preserve">Cash generation is enormous: Q1 FY2027 operating cash flow was ~US$50.3B with free cash flow of ~US$48.6B.</w:t>
      </w:r>
    </w:p>
    <w:p>
      <w:pPr>
        <w:pStyle w:val="ListParagraph"/>
        <w:numPr>
          <w:ilvl w:val="0"/>
          <w:numId w:val="2"/>
        </w:numPr>
        <w:spacing w:after="80" w:line="276"/>
      </w:pPr>
      <w:r>
        <w:t xml:space="preserve">The company returned a record ~US$20B to shareholders in Q1 FY2027, raised its quarterly dividend 25-fold (from US$0.01 to US$0.25 per share), and authorized an additional US$80B of buybacks. Historically capital return has been buyback-led, with dividends a small fraction of cash flow.</w:t>
      </w:r>
    </w:p>
    <w:p>
      <w:pPr>
        <w:pStyle w:val="ListParagraph"/>
        <w:numPr>
          <w:ilvl w:val="0"/>
          <w:numId w:val="2"/>
        </w:numPr>
        <w:spacing w:after="80" w:line="276"/>
      </w:pPr>
      <w:r>
        <w:t xml:space="preserve">Balance-sheet commitments are growing alongside demand: inventory rose to ~US$25.8B and supply/purchase commitments reached ~US$119B, reflecting aggressive capacity reservation to meet demand.</w:t>
      </w:r>
    </w:p>
    <w:p>
      <w:pPr>
        <w:pBdr>
          <w:left w:val="single" w:color="1A7A4C" w:sz="18" w:space="8"/>
        </w:pBdr>
        <w:shd w:fill="EAF4EE" w:val="clear"/>
        <w:spacing w:after="140" w:before="60" w:line="276"/>
        <w:ind w:left="160"/>
      </w:pPr>
      <w:r>
        <w:rPr>
          <w:b/>
          <w:bCs/>
          <w:color w:val="1A7A4C"/>
        </w:rPr>
        <w:t xml:space="preserve">Watch items: </w:t>
      </w:r>
      <w:r>
        <w:t xml:space="preserve">(1) China/export-control exposure; (2) customer concentration in hyperscalers (mitigating as ACIE grows); (3) competition from custom ASICs and AMD; (4) the sustainability of ~75% margins if the demand/supply balance normalizes.</w:t>
      </w:r>
    </w:p>
    <w:p>
      <w:pPr>
        <w:pStyle w:val="Heading1"/>
      </w:pPr>
      <w:r>
        <w:t xml:space="preserve">Important Disclosure</w:t>
      </w:r>
    </w:p>
    <w:p>
      <w:pPr>
        <w:spacing w:after="120" w:line="276"/>
      </w:pPr>
      <w:r>
        <w:rPr>
          <w:i/>
          <w:iCs/>
          <w:color w:val="5A5A5A"/>
          <w:sz w:val="18"/>
          <w:szCs w:val="18"/>
        </w:rPr>
        <w:t xml:space="preserve">This document is a research summary prepared for informational and educational purposes only. It synthesizes publicly available company filings, press releases, and third-party market research as of 24 May 2026. It is not investment advice, nor an offer or solicitation to buy or sell any security. Figures are as reported by the company or cited research providers and may be restated; forecasts cited are third-party estimates and are inherently uncertain. Readers should conduct their own due diligence and consult a licensed financial professional before making any investment decision.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jc w:val="center"/>
    </w:pPr>
    <w:r>
      <w:rPr>
        <w:color w:val="5A5A5A"/>
        <w:sz w:val="16"/>
        <w:szCs w:val="16"/>
      </w:rPr>
      <w:t xml:space="preserve">NVDA — Initiating Coverage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5A5A5A"/>
        <w:sz w:val="16"/>
        <w:szCs w:val="16"/>
      </w:rPr>
      <w:t xml:space="preserve">Equity Research  |  Initiating Coverage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A4C" w:sz="6" w:space="4"/>
      </w:pBdr>
      <w:spacing w:after="140" w:before="300"/>
      <w:outlineLvl w:val="0"/>
    </w:pPr>
    <w:rPr>
      <w:rFonts w:ascii="Arial" w:cs="Arial" w:eastAsia="Arial" w:hAnsi="Arial"/>
      <w:b/>
      <w:bCs/>
      <w:color w:val="1A7A4C"/>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1B1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Corporation — Initiating Coverage</dc:title>
  <dc:creator>Equity Research</dc:creator>
  <cp:lastModifiedBy>Un-named</cp:lastModifiedBy>
  <cp:revision>1</cp:revision>
  <dcterms:created xsi:type="dcterms:W3CDTF">2026-05-24T08:16:17.814Z</dcterms:created>
  <dcterms:modified xsi:type="dcterms:W3CDTF">2026-05-24T08:16:17.814Z</dcterms:modified>
</cp:coreProperties>
</file>

<file path=docProps/custom.xml><?xml version="1.0" encoding="utf-8"?>
<Properties xmlns="http://schemas.openxmlformats.org/officeDocument/2006/custom-properties" xmlns:vt="http://schemas.openxmlformats.org/officeDocument/2006/docPropsVTypes"/>
</file>