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ahoma" w:cs="Tahoma" w:eastAsia="Tahoma" w:hAnsi="Tahoma"/>
          <w:b/>
          <w:bCs/>
          <w:color w:val="1A7A4C"/>
          <w:sz w:val="18"/>
          <w:szCs w:val="18"/>
        </w:rPr>
        <w:t xml:space="preserve">INITIATING COVERAGE</w:t>
      </w:r>
    </w:p>
    <w:p>
      <w:pPr>
        <w:spacing w:after="20"/>
      </w:pPr>
      <w:r>
        <w:rPr>
          <w:rFonts w:ascii="Tahoma" w:cs="Tahoma" w:eastAsia="Tahoma" w:hAnsi="Tahoma"/>
          <w:b/>
          <w:bCs/>
          <w:color w:val="1B1B1B"/>
          <w:sz w:val="44"/>
          <w:szCs w:val="44"/>
        </w:rPr>
        <w:t xml:space="preserve">NVIDIA Corporation</w:t>
      </w:r>
    </w:p>
    <w:p>
      <w:pPr>
        <w:spacing w:after="160"/>
      </w:pPr>
      <w:r>
        <w:rPr>
          <w:rFonts w:ascii="Tahoma" w:cs="Tahoma" w:eastAsia="Tahoma" w:hAnsi="Tahoma"/>
          <w:b/>
          <w:bCs/>
          <w:color w:val="5A5A5A"/>
          <w:sz w:val="22"/>
          <w:szCs w:val="22"/>
        </w:rPr>
        <w:t xml:space="preserve">NASDAQ: NVDA</w:t>
      </w:r>
      <w:r>
        <w:rPr>
          <w:rFonts w:ascii="Tahoma" w:cs="Tahoma" w:eastAsia="Tahoma" w:hAnsi="Tahoma"/>
          <w:color w:val="5A5A5A"/>
          <w:sz w:val="20"/>
          <w:szCs w:val="20"/>
        </w:rPr>
        <w:t xml:space="preserve">   |   เซมิคอนดักเตอร์ และ AI Accelerated Computing</w:t>
      </w:r>
    </w:p>
    <w:p>
      <w:pPr>
        <w:spacing w:after="120" w:line="288"/>
      </w:pPr>
      <w:r>
        <w:rPr>
          <w:rFonts w:ascii="Tahoma" w:cs="Tahoma" w:eastAsia="Tahoma" w:hAnsi="Tahoma"/>
          <w:i/>
          <w:iCs/>
          <w:color w:val="5A5A5A"/>
          <w:sz w:val="18"/>
          <w:szCs w:val="18"/>
        </w:rPr>
        <w:t xml:space="preserve">จัดทำ ณ วันที่ 24 พ.ค. 2026 ตัวเลขทางการเงินทั้งหมดอ้างอิงตามที่บริษัทรายงาน เว้นแต่ระบุไว้เป็นอื่น NVIDIA ใช้ปีงบประมาณที่สิ้นสุดปลายเดือนมกราคม โดยปีงบ FY2026 สิ้นสุดวันที่ 25 ม.ค.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บริษัท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NVIDIA Corporation (NASDAQ: NVDA)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กลุ่ม / อุตสาหกรรม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เทคโนโลยีสารสนเทศ — เซมิคอนดักเตอร์ และ AI Accelerated Computing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ประเภทรายงาน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Initiating Coverage — บทสรุป (เริ่มต้นจัดทำบทวิเคราะห์)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งวดล่าสุดที่รายงาน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ไตรมาส 1 ปีงบ FY2027 (สิ้นสุด 26 เม.ย. 2026 / รายงาน 20 พ.ค.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รายได้รายไตรมาส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81.6 พันล้านดอลลาร์ (+85% YoY, +20% QoQ)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รายได้ปีงบ FY2026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215.9 พันล้านดอลลาร์ (+65% YoY)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อัตรากำไรขั้นต้น GAAP (Q1 FY27)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74.9%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นโยบายคืนทุนผู้ถือหุ้น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เพิ่มปันผลเป็น $0.25/ไตรมาส (จาก $0.01) + อนุมัติซื้อหุ้นคืนเพิ่ม 80 พันล้านดอลลาร์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ลักษณะธุรกิจ (Business Description)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ประเด็นสำคัญ: </w:t>
      </w:r>
      <w:r>
        <w:rPr>
          <w:rFonts w:ascii="Tahoma" w:cs="Tahoma" w:eastAsia="Tahoma" w:hAnsi="Tahoma"/>
        </w:rPr>
        <w:t xml:space="preserve">NVIDIA ไม่ได้เป็นเพียง “บริษัทผลิตชิป” อีกต่อไป แต่ขายระบบประมวลผล AI ครบวงจรระดับตู้แร็ก (rack-scale) และรายได้เกือบ 9 ใน 10 ดอลลาร์มาจากกลุ่มศูนย์ข้อมูล</w:t>
      </w:r>
    </w:p>
    <w:p>
      <w:pPr>
        <w:spacing w:after="120" w:line="288"/>
      </w:pPr>
      <w:r>
        <w:rPr>
          <w:rFonts w:ascii="Tahoma" w:cs="Tahoma" w:eastAsia="Tahoma" w:hAnsi="Tahoma"/>
        </w:rPr>
        <w:t xml:space="preserve">NVIDIA ออกแบบแพลตฟอร์มการประมวลผลแบบเร่งความเร็ว (accelerated computing) โดยมีหน่วยประมวลผลกราฟิก (GPU) เป็นแกนกลาง จากจุดเริ่มต้นที่เป็นธุรกิจกราฟิก 3 มิติ บริษัทได้พัฒนาจนกลายเป็นผู้จัดหาโครงสร้างพื้นฐานด้านการประมวลผลที่ใช้ฝึก (train) และรัน (inference) โมเดลปัญญาประดิษฐ์รายใหญ่ที่สุด ปัจจุบันบริษัทขายเป็น “ระบบครบชุด” มากขึ้น โดยรวม GPU, CPU, เครือข่ายความเร็วสูง และซอฟต์แวร์เข้าด้วยกัน แทนการขายชิปแบบแยกชิ้น</w:t>
      </w:r>
    </w:p>
    <w:p>
      <w:pPr>
        <w:pStyle w:val="Heading2"/>
      </w:pPr>
      <w:r>
        <w:t xml:space="preserve">บริษัททำเงินอย่างไร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Data Center (~90% ของรายได้): </w:t>
      </w:r>
      <w:r>
        <w:rPr>
          <w:rFonts w:ascii="Tahoma" w:cs="Tahoma" w:eastAsia="Tahoma" w:hAnsi="Tahoma"/>
        </w:rPr>
        <w:t xml:space="preserve">GPU (สถาปัตยกรรม Hopper, Blackwell และ Vera Rubin ที่กำลังจะมา), อุปกรณ์เครือข่าย (NVLink, InfiniBand, Spectrum-X Ethernet) และระบบระดับแร็กอย่าง NVL72 โดยรายได้ศูนย์ข้อมูล Q1 FY2027 ทำสถิติที่ 75.2 พันล้านดอลลาร์ เพิ่มขึ้น 92% YoY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Gaming: </w:t>
      </w:r>
      <w:r>
        <w:rPr>
          <w:rFonts w:ascii="Tahoma" w:cs="Tahoma" w:eastAsia="Tahoma" w:hAnsi="Tahoma"/>
        </w:rPr>
        <w:t xml:space="preserve">การ์ดจอ GeForce สำหรับเกมพีซี รายได้ FY2026 ราว 16.0 พันล้านดอลลาร์ เติบโตแรงจากดีมานด์รุ่น Blackwell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Professional Visualization: </w:t>
      </w:r>
      <w:r>
        <w:rPr>
          <w:rFonts w:ascii="Tahoma" w:cs="Tahoma" w:eastAsia="Tahoma" w:hAnsi="Tahoma"/>
        </w:rPr>
        <w:t xml:space="preserve">GPU สำหรับเวิร์กสเตชันงานออกแบบ จำลองภาพ และสร้างคอนเทนต์ (~3.2 พันล้านดอลลาร์ใน FY2026)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Automotive &amp; Robotics: </w:t>
      </w:r>
      <w:r>
        <w:rPr>
          <w:rFonts w:ascii="Tahoma" w:cs="Tahoma" w:eastAsia="Tahoma" w:hAnsi="Tahoma"/>
        </w:rPr>
        <w:t xml:space="preserve">ชิปและแพลตฟอร์มสำหรับรถยนต์ขับเคลื่อนอัตโนมัติและหุ่นยนต์/physical AI (~2.4 พันล้านดอลลาร์ใน FY2026)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OEM &amp; อื่น ๆ: </w:t>
      </w:r>
      <w:r>
        <w:rPr>
          <w:rFonts w:ascii="Tahoma" w:cs="Tahoma" w:eastAsia="Tahoma" w:hAnsi="Tahoma"/>
        </w:rPr>
        <w:t xml:space="preserve">กลุ่มเล็กที่สุด เป็นรายได้แบบฝังตัวและไลเซนส์</w:t>
      </w:r>
    </w:p>
    <w:p>
      <w:pPr>
        <w:spacing w:after="120" w:line="288"/>
      </w:pPr>
      <w:r>
        <w:rPr>
          <w:rFonts w:ascii="Tahoma" w:cs="Tahoma" w:eastAsia="Tahoma" w:hAnsi="Tahoma"/>
        </w:rPr>
        <w:t xml:space="preserve">ตั้งแต่ Q1 FY2027 บริษัทปรับกรอบการรายงานใหม่เหลือ 2 แพลตฟอร์มหลัก คือ </w:t>
      </w:r>
      <w:r>
        <w:rPr>
          <w:rFonts w:ascii="Tahoma" w:cs="Tahoma" w:eastAsia="Tahoma" w:hAnsi="Tahoma"/>
          <w:b/>
          <w:bCs/>
        </w:rPr>
        <w:t xml:space="preserve">Data Center</w:t>
      </w:r>
      <w:r>
        <w:rPr>
          <w:rFonts w:ascii="Tahoma" w:cs="Tahoma" w:eastAsia="Tahoma" w:hAnsi="Tahoma"/>
        </w:rPr>
        <w:t xml:space="preserve"> (แบ่งเป็น Hyperscale และ “ACIE” — AI clouds, อุตสาหกรรม และองค์กร) และ </w:t>
      </w:r>
      <w:r>
        <w:rPr>
          <w:rFonts w:ascii="Tahoma" w:cs="Tahoma" w:eastAsia="Tahoma" w:hAnsi="Tahoma"/>
          <w:b/>
          <w:bCs/>
        </w:rPr>
        <w:t xml:space="preserve">Edge Computing</w:t>
      </w:r>
      <w:r>
        <w:rPr>
          <w:rFonts w:ascii="Tahoma" w:cs="Tahoma" w:eastAsia="Tahoma" w:hAnsi="Tahoma"/>
        </w:rPr>
        <w:t xml:space="preserve"> (พีซี, เครื่องเกม, เวิร์กสเตชัน, AI-RAN, หุ่นยนต์ และยานยนต์) ที่น่าสนใจคือกลุ่ม ACIE เติบโตจนมีขนาดใกล้เคียงกับรายได้จากกลุ่ม hyperscaler แล้ว สะท้อนฐานลูกค้าที่ “กว้างขึ้น” ไม่ใช่กระจุกตัว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กลุ่มธุรกิจ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FY2026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% FY26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Data Center (ศูนย์ข้อมูล)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$115.2B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$193.7B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89.7%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Gaming (เกม)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$11.4B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$16.0B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7.4%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Professional 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$1.9B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$3.2B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1.5%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Automotive (ยานยนต์)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$1.7B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$2.4B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1.1%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OEM &amp; อื่น 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$0.4B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$0.6B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รวม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$130.5B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$215.9B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B1B1B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60" w:before="60"/>
      </w:pPr>
      <w:r>
        <w:rPr>
          <w:rFonts w:ascii="Tahoma" w:cs="Tahoma" w:eastAsia="Tahoma" w:hAnsi="Tahoma"/>
          <w:i/>
          <w:iCs/>
          <w:color w:val="5A5A5A"/>
          <w:sz w:val="16"/>
          <w:szCs w:val="16"/>
        </w:rPr>
        <w:t xml:space="preserve">ที่มา: เอกสารที่บริษัทยื่น (การเปิดเผยรายกลุ่มธุรกิจ FY2026) ตัวเลขปัดเศษ</w:t>
      </w:r>
    </w:p>
    <w:p>
      <w:pPr>
        <w:pStyle w:val="Heading1"/>
      </w:pPr>
      <w:r>
        <w:t xml:space="preserve">2. ความได้เปรียบเชิงแข่งขัน (Competitive Moat)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ประเด็นสำคัญ: </w:t>
      </w:r>
      <w:r>
        <w:rPr>
          <w:rFonts w:ascii="Tahoma" w:cs="Tahoma" w:eastAsia="Tahoma" w:hAnsi="Tahoma"/>
        </w:rPr>
        <w:t xml:space="preserve">ความได้เปรียบที่ยั่งยืนของ NVIDIA ไม่ได้อยู่ที่ตัวชิปเพียงอย่างเดียว แต่อยู่ที่ระบบนิเวศซอฟต์แวร์ CUDA และการบูรณาการแบบครบสแตก ซึ่งร่วมกันสร้างต้นทุนการเปลี่ยนไปใช้คู่แข่งที่สูง และพยุงอัตรากำไรขั้นต้นไว้ที่ ~75%</w:t>
      </w:r>
    </w:p>
    <w:p>
      <w:pPr>
        <w:pStyle w:val="Heading2"/>
      </w:pPr>
      <w:r>
        <w:t xml:space="preserve">ต้นทุนการเปลี่ยน &amp; การล็อกอินด้วยซอฟต์แวร์ (ระบบนิเวศ CUDA)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CUDA คือแพลตฟอร์มประมวลผลแบบขนานเฉพาะของ NVIDIA ที่นักพัฒนาใช้สะสมมาเกือบสองทศวรรษ พร้อมไลบรารีและเครื่องมือจำนวนมาก ทำให้เฟรมเวิร์ก AI ส่วนใหญ่ถูกปรับให้ทำงานกับ NVIDIA เป็นอันดับแรก การย้ายงานไปยังสถาปัตยกรรมคู่แข่งมีต้นทุนและความเสี่ยงสูง — นี่คือเสาหลักที่แข็งแรงที่สุดของ moat</w:t>
      </w:r>
    </w:p>
    <w:p>
      <w:pPr>
        <w:pStyle w:val="Heading2"/>
      </w:pPr>
      <w:r>
        <w:t xml:space="preserve">การบูรณาการครบสแตก / ระดับระบบ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บริษัทขายเป็นระบบครบชุดระดับแร็กมากขึ้น (GPU + CPU + เครือข่าย NVLink + ซอฟต์แวร์) การบูรณาการแนวดิ่งนี้ลอกเลียนได้ยากสำหรับคู่แข่งที่ขายชิปอย่างเดียว และทำให้ NVIDIA เก็บมูลค่าต่อการติดตั้งได้มากขึ้น</w:t>
      </w:r>
    </w:p>
    <w:p>
      <w:pPr>
        <w:pStyle w:val="Heading2"/>
      </w:pPr>
      <w:r>
        <w:t xml:space="preserve">ทรัพย์สินทางปัญญา &amp; จังหวะการออกผลิตภัณฑ์ (R&amp;D cadence)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จังหวะการออกผลิตภัณฑ์เชิงรุกแบบเกือบปีต่อปี (Hopper → Blackwell → Vera Rubin) ทำให้ NVIDIA นำหน้าด้านประสิทธิภาพต่อพลังงาน (performance-per-watt) ซึ่งเป็นตัวชี้วัดสำคัญเมื่อกำลังไฟของศูนย์ข้อมูลกลายเป็นข้อจำกัดหลัก</w:t>
      </w:r>
    </w:p>
    <w:p>
      <w:pPr>
        <w:pStyle w:val="Heading2"/>
      </w:pPr>
      <w:r>
        <w:t xml:space="preserve">ขนาด &amp; สิทธิ์เข้าถึงห่วงโซ่อุปทาน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การเข้าถึงกำลังการผลิตแพ็กเกจขั้นสูง (เช่น TSMC CoWoS) และหน่วยความจำแบนด์วิดท์สูง (HBM) ก่อนใคร ทำให้ NVIDIA ได้เปรียบด้านอุปทานที่คู่แข่งรายเล็กตามได้ยาก</w:t>
      </w:r>
    </w:p>
    <w:p>
      <w:pPr>
        <w:pStyle w:val="Heading2"/>
      </w:pPr>
      <w:r>
        <w:t xml:space="preserve">แบรนด์ &amp; network effect ของระบบนิเวศ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คำว่า “rองรับ NVIDIA” กลายเป็นมาตรฐานปริยายของโครงสร้างพื้นฐาน AI ยิ่งมีนักพัฒนาสร้างงานบนแพลตฟอร์มมากเท่าไร แพลตฟอร์มก็ยิ่งมีค่ามากขึ้น — เป็น network effect ที่เสริมตัวเอง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ความเสี่ยงต่อ moat: </w:t>
      </w:r>
      <w:r>
        <w:rPr>
          <w:rFonts w:ascii="Tahoma" w:cs="Tahoma" w:eastAsia="Tahoma" w:hAnsi="Tahoma"/>
        </w:rPr>
        <w:t xml:space="preserve">ชิปออกแบบเองของกลุ่ม hyperscaler (Google TPU, AWS Trainium, Microsoft Maia), การรุกของ AMD (Instinct/ROCm) และกลุ่ม custom ASIC ที่โตเร็ว คือภัยคุกคามหลักระยะยาวต่อส่วนแบ่งตลาดและอำนาจตั้งราคาของ NVIDIA</w:t>
      </w:r>
    </w:p>
    <w:p>
      <w:pPr>
        <w:pStyle w:val="Heading1"/>
      </w:pPr>
      <w:r>
        <w:t xml:space="preserve">3. ภาพรวมอุตสาหกรรม (Industry Overview)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ประเด็นสำคัญ: </w:t>
      </w:r>
      <w:r>
        <w:rPr>
          <w:rFonts w:ascii="Tahoma" w:cs="Tahoma" w:eastAsia="Tahoma" w:hAnsi="Tahoma"/>
        </w:rPr>
        <w:t xml:space="preserve">NVIDIA อยู่ใจกลางการลงทุนโครงสร้างพื้นฐานครั้งใหญ่ที่สุดครั้งหนึ่งในประวัติศาสตร์ โดยตลาด AI accelerator ถูกคาดการณ์อย่างกว้างขวางว่าจะแตะระดับหลายแสนล้านดอลลาร์ภายในต้นทศวรรษ 2030</w:t>
      </w:r>
    </w:p>
    <w:p>
      <w:pPr>
        <w:pStyle w:val="Heading2"/>
      </w:pPr>
      <w:r>
        <w:t xml:space="preserve">ขนาดตลาด &amp; การเติบโต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การคาดการณ์ของแต่ละสำนักต่างกันในรายละเอียด แต่ทิศทางสอดคล้องกัน Bloomberg Intelligence คาดตลาด AI accelerator โตราว 16% ต่อปี (CAGR) สู่ระดับประมาณ 604 พันล้านดอลลาร์ภายในปี 2033 (จาก ~116 พันล้านดอลลาร์ในปี 2024) ขณะที่สำนักวิจัยอื่นประเมิน CAGR ที่ 25–37% แตะระดับหลายแสนล้านดอลลาร์ภายในปี 2030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GPU น่าจะยังเป็นรูปแบบหลักของตลาด (ครองส่วนใหญ่ไปจนถึงต้นทศวรรษ 2030) ขณะที่ custom ASIC เป็นกลุ่มย่อยที่โตเร็วที่สุด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เม็ดเงินลงทุนโครงสร้างพื้นฐาน AI โดยรวมคาดว่าจะสูงถึงระดับล้านล้านดอลลาร์ในทศวรรษนี้ โดยงบลงทุน (capex) รวมของกลุ่ม hyperscaler ต่อปีถูกประเมินว่าอาจเข้าใกล้ 700 พันล้านดอลลาร์</w:t>
      </w:r>
    </w:p>
    <w:p>
      <w:pPr>
        <w:pStyle w:val="Heading2"/>
      </w:pPr>
      <w:r>
        <w:t xml:space="preserve">ภูมิทัศน์การแข่งขัน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NVIDIA: </w:t>
      </w:r>
      <w:r>
        <w:rPr>
          <w:rFonts w:ascii="Tahoma" w:cs="Tahoma" w:eastAsia="Tahoma" w:hAnsi="Tahoma"/>
        </w:rPr>
        <w:t xml:space="preserve">ประเมินส่วนแบ่งตลาด AI accelerator ที่ ~70–80% และคาดว่าจะรักษาระดับราว 70–75% ไปจนถึงปี 2030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AMD: </w:t>
      </w:r>
      <w:r>
        <w:rPr>
          <w:rFonts w:ascii="Tahoma" w:cs="Tahoma" w:eastAsia="Tahoma" w:hAnsi="Tahoma"/>
        </w:rPr>
        <w:t xml:space="preserve">ผู้เล่นอันดับสองที่น่าเชื่อถือ (GPU ตระกูล Instinct, ซอฟต์แวร์ ROCm) มีแนวโน้มได้ส่วนแบ่งระดับเลขสองหลักต่ำภายในสิ้นทศวรรษ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ชิปออกแบบเองของ hyperscaler: </w:t>
      </w:r>
      <w:r>
        <w:rPr>
          <w:rFonts w:ascii="Tahoma" w:cs="Tahoma" w:eastAsia="Tahoma" w:hAnsi="Tahoma"/>
        </w:rPr>
        <w:t xml:space="preserve">Google (TPU), Amazon (Trainium/Inferentia), Microsoft (Maia) — ชิปภายในที่ค่อย ๆ กัดกินส่วนแบ่งของ GPU เชิงพาณิชย์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  <w:b/>
          <w:bCs/>
        </w:rPr>
        <w:t xml:space="preserve">รายอื่น ๆ: </w:t>
      </w:r>
      <w:r>
        <w:rPr>
          <w:rFonts w:ascii="Tahoma" w:cs="Tahoma" w:eastAsia="Tahoma" w:hAnsi="Tahoma"/>
        </w:rPr>
        <w:t xml:space="preserve">Intel (Gaudi), Broadcom และ Marvell (ผู้สนับสนุน custom ASIC) รวมถึงผู้เล่นเฉพาะทางอย่าง Cerebras และ Groq</w:t>
      </w:r>
    </w:p>
    <w:p>
      <w:pPr>
        <w:pStyle w:val="Heading2"/>
      </w:pPr>
      <w:r>
        <w:t xml:space="preserve">แนวโน้มกฎระเบียบ &amp; ภูมิรัฐศาสตร์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มาตรการควบคุมการส่งออกชิป AI ขั้นสูงของสหรัฐฯ ไปยังจีนยังเป็นปัจจัยกดดันสำคัญ NVIDIA ไม่รวมรายได้ศูนย์ข้อมูลจากจีนไว้ในประมาณการ และไม่มีการส่งมอบ Hopper สำหรับศูนย์ข้อมูลไปจีนใน Q1 FY2027 (เทียบกับ 4.6 พันล้านดอลลาร์ในปีก่อนหน้า)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การกระจุกตัวของอุปทาน (แพ็กเกจขั้นสูง, HBM) และความต้องการกำลังไฟของศูนย์ข้อมูลที่เพิ่มขึ้น เป็นข้อจำกัดเชิงโครงสร้างและเชิงนโยบายของทั้งอุตสาหกรรม</w:t>
      </w:r>
    </w:p>
    <w:p>
      <w:pPr>
        <w:pStyle w:val="Heading1"/>
      </w:pPr>
      <w:r>
        <w:t xml:space="preserve">4. ภาพรวมการเงิน (Financial Overview)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ประเด็นสำคัญ: </w:t>
      </w:r>
      <w:r>
        <w:rPr>
          <w:rFonts w:ascii="Tahoma" w:cs="Tahoma" w:eastAsia="Tahoma" w:hAnsi="Tahoma"/>
        </w:rPr>
        <w:t xml:space="preserve">เติบโตสูงพร้อมทำกำไรในระดับที่หาได้ยาก: อัตรากำไรขั้นต้น ~75%, อัตรากำไรจากการดำเนินงาน ~66% และกระแสเงินสดอิสระหลายหมื่นล้านดอลลาร์ต่อไตรมาส ซึ่งกำลังนำไปใช้ในโครงการคืนทุนผู้ถือหุ้นที่ขยายตัวอย่างมาก</w:t>
      </w:r>
    </w:p>
    <w:p>
      <w:pPr>
        <w:pStyle w:val="Heading2"/>
      </w:pPr>
      <w:r>
        <w:t xml:space="preserve">แนวโน้มอัตรากำไร (Margin)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อัตรากำไรขั้นต้นสูงและนิ่งผิดปกติสำหรับบริษัทฮาร์ดแวร์: FY2026 อัตรากำไรขั้นต้น GAAP อยู่ที่ ~71% และอัตรากำไรขั้นต้นรายไตรมาสยืนที่ ~75% ตั้งแต่ Q4 FY2026 ถึง Q1 FY2027 — เป็นหลักฐานว่ายังรักษาอำนาจตั้งราคาไว้ได้แม้ Blackwell จะเข้าสู่การผลิตเต็มกำลัง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operating leverage โดดเด่นมาก: Q1 FY2027 กำไรจากการดำเนินงาน GAAP อยู่ที่ ~53.5 พันล้านดอลลาร์ บนรายได้ 81.6 พันล้านดอลลาร์ (~66% operating margin) และกำไรสุทธิ ~58.3 พันล้านดอลลาร์ ค่าใช้จ่ายในการดำเนินงานเพิ่มขึ้น (GAAP opex +52% YoY) จากการลงทุน แต่ยังเล็กเมื่อเทียบกับรายได้</w:t>
      </w:r>
    </w:p>
    <w:p>
      <w:pPr>
        <w:pStyle w:val="Heading2"/>
      </w:pPr>
      <w:r>
        <w:t xml:space="preserve">ประวัติการเติบโต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รายได้เพิ่มจาก ~130.5 พันล้านดอลลาร์ (FY2025) เป็น 215.9 พันล้านดอลลาร์ (FY2026, +65%) แล้วขึ้นสู่ระดับ run-rate รายไตรมาส 81.6 พันล้านดอลลาร์ใน Q1 FY2027 (+85% YoY) โดยให้แนวโน้มรายได้ Q2 FY2027 ที่ ~91.0 พันล้านดอลลาร์</w:t>
      </w:r>
    </w:p>
    <w:p>
      <w:pPr>
        <w:pStyle w:val="Heading2"/>
      </w:pPr>
      <w:r>
        <w:t xml:space="preserve">การจัดสรรเงินทุน (Capital Allocation)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ความสามารถสร้างเงินสดมหาศาล: Q1 FY2027 กระแสเงินสดจากการดำเนินงาน ~50.3 พันล้านดอลลาร์ และกระแสเงินสดอิสระ (FCF) ~48.6 พันล้านดอลลาร์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บริษัทคืนทุนผู้ถือหุ้นเป็นสถิติ ~20 พันล้านดอลลาร์ใน Q1 FY2027 ขึ้นปันผลรายไตรมาส 25 เท่า (จาก $0.01 เป็น $0.25 ต่อหุ้น) และอนุมัติซื้อหุ้นคืนเพิ่มอีก 80 พันล้านดอลลาร์ โดยในอดีตเน้นคืนทุนผ่านการซื้อหุ้นคืนเป็นหลัก ส่วนปันผลเป็นสัดส่วนเล็กของกระแสเงินสด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ahoma" w:cs="Tahoma" w:eastAsia="Tahoma" w:hAnsi="Tahoma"/>
        </w:rPr>
        <w:t xml:space="preserve">ภาระผูกพันในงบดุลโตตามดีมานด์: สินค้าคงคลังเพิ่มเป็น ~25.8 พันล้านดอลลาร์ และภาระผูกพันด้านอุปทาน/การจัดซื้อแตะ ~119 พันล้านดอลลาร์ สะท้อนการจองกำลังการผลิตเชิงรุกเพื่อรองรับดีมานด์</w:t>
      </w:r>
    </w:p>
    <w:p>
      <w:pPr>
        <w:pBdr>
          <w:left w:val="single" w:color="1A7A4C" w:sz="18" w:space="8"/>
        </w:pBdr>
        <w:shd w:fill="EAF4EE" w:val="clear"/>
        <w:spacing w:after="140" w:before="60" w:line="288"/>
        <w:ind w:left="160"/>
      </w:pPr>
      <w:r>
        <w:rPr>
          <w:rFonts w:ascii="Tahoma" w:cs="Tahoma" w:eastAsia="Tahoma" w:hAnsi="Tahoma"/>
          <w:b/>
          <w:bCs/>
          <w:color w:val="1A7A4C"/>
        </w:rPr>
        <w:t xml:space="preserve">ประเด็นที่ต้องจับตา: </w:t>
      </w:r>
      <w:r>
        <w:rPr>
          <w:rFonts w:ascii="Tahoma" w:cs="Tahoma" w:eastAsia="Tahoma" w:hAnsi="Tahoma"/>
        </w:rPr>
        <w:t xml:space="preserve">(1) ความเสี่ยงจีน/มาตรการควบคุมการส่งออก; (2) การกระจุกตัวของลูกค้ากลุ่ม hyperscaler (กำลังคลายลงเมื่อ ACIE โต); (3) การแข่งขันจาก custom ASIC และ AMD; (4) ความยั่งยืนของอัตรากำไร ~75% หากสมดุลอุปสงค์/อุปทานกลับสู่ภาวะปกติ</w:t>
      </w:r>
    </w:p>
    <w:p>
      <w:pPr>
        <w:pStyle w:val="Heading1"/>
      </w:pPr>
      <w:r>
        <w:t xml:space="preserve">ข้อสงวนสิทธิ์สำคัญ (Disclosure)</w:t>
      </w:r>
    </w:p>
    <w:p>
      <w:pPr>
        <w:spacing w:after="120" w:line="288"/>
      </w:pPr>
      <w:r>
        <w:rPr>
          <w:rFonts w:ascii="Tahoma" w:cs="Tahoma" w:eastAsia="Tahoma" w:hAnsi="Tahoma"/>
          <w:i/>
          <w:iCs/>
          <w:color w:val="5A5A5A"/>
          <w:sz w:val="18"/>
          <w:szCs w:val="18"/>
        </w:rPr>
        <w:t xml:space="preserve">เอกสารนี้เป็นบทสรุปเชิงวิเคราะห์ที่จัดทำเพื่อวัตถุประสงค์ด้านข้อมูลและการศึกษาเท่านั้น โดยสังเคราะห์จากเอกสารที่บริษัทเปิดเผยต่อสาธารณะ ข่าวประชาสัมพันธ์ และงานวิจัยตลาดของบุคคลที่สาม ณ วันที่ 24 พ.ค. 2026 เอกสารนี้ไม่ถือเป็นคำแนะนำการลงทุน และไม่ใช่การเสนอหรือชักชวนให้ซื้อหรือขายหลักทรัพย์ใด ๆ ตัวเลขเป็นไปตามที่บริษัทหรือผู้ให้บริการงานวิจัยรายงานและอาจมีการปรับปรุงภายหลัง การคาดการณ์ที่อ้างถึงเป็นประมาณการของบุคคลที่สามและมีความไม่แน่นอนโดยธรรมชาติ ผู้อ่านควรศึกษาข้อมูลด้วยตนเองและปรึกษาผู้เชี่ยวชาญทางการเงินที่ได้รับอนุญาตก่อนตัดสินใจลงทุน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center"/>
    </w:pPr>
    <w:r>
      <w:rPr>
        <w:rFonts w:ascii="Tahoma" w:cs="Tahoma" w:eastAsia="Tahoma" w:hAnsi="Tahoma"/>
        <w:color w:val="5A5A5A"/>
        <w:sz w:val="16"/>
        <w:szCs w:val="16"/>
      </w:rPr>
      <w:t xml:space="preserve">NVDA — Initiating Coverage  •  หน้า </w:t>
    </w:r>
    <w:r>
      <w:rPr>
        <w:rFonts w:ascii="Tahoma" w:cs="Tahoma" w:eastAsia="Tahoma" w:hAnsi="Tahoma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  <w:jc w:val="right"/>
    </w:pPr>
    <w:r>
      <w:rPr>
        <w:rFonts w:ascii="Tahoma" w:cs="Tahoma" w:eastAsia="Tahoma" w:hAnsi="Tahoma"/>
        <w:color w:val="5A5A5A"/>
        <w:sz w:val="16"/>
        <w:szCs w:val="16"/>
      </w:rPr>
      <w:t xml:space="preserve">บทวิเคราะห์หุ้น  |  Initiating Coverage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B1B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A4C" w:sz="6" w:space="4"/>
      </w:pBdr>
      <w:spacing w:after="140" w:before="300"/>
      <w:outlineLvl w:val="0"/>
    </w:pPr>
    <w:rPr>
      <w:rFonts w:ascii="Tahoma" w:cs="Tahoma" w:eastAsia="Tahoma" w:hAnsi="Tahoma"/>
      <w:b/>
      <w:bCs/>
      <w:color w:val="1A7A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1B1B1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Corporation — บทวิเคราะห์เริ่มต้น (Initiating Coverage)</dc:title>
  <dc:creator>Equity Research</dc:creator>
  <cp:lastModifiedBy>Un-named</cp:lastModifiedBy>
  <cp:revision>1</cp:revision>
  <dcterms:created xsi:type="dcterms:W3CDTF">2026-05-24T08:28:34.424Z</dcterms:created>
  <dcterms:modified xsi:type="dcterms:W3CDTF">2026-05-24T08:28:34.424Z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