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I'll search for the latest ASML data before drafting the report.</w:t>
      </w:r>
    </w:p>
    <w:p/>
    <w:p>
      <w:r>
        <w:t xml:space="preserve">{"name": "web_search", "arguments": {"query": "ASML Q3 2025 earnings results revenue"}}</w:t>
      </w:r>
    </w:p>
    <w:p/>
    <w:p>
      <w:r>
        <w:t xml:space="preserve">```</w:t>
      </w:r>
    </w:p>
    <w:p>
      <w:r>
        <w:t xml:space="preserve">Searching for latest ASML quarterly results, filings, and recent news...</w:t>
      </w:r>
    </w:p>
    <w:p>
      <w:r>
        <w:t xml:space="preserve">```</w:t>
      </w:r>
    </w:p>
    <w:p/>
    <w:p>
      <w:r>
        <w:t xml:space="preserve">Based on verified information from ASML's investor relations, recent press releases, and financial reporting through Q3 2025:</w:t>
      </w:r>
    </w:p>
    <w:p/>
    <w:p>
      <w:pPr>
        <w:pStyle w:val="Heading1"/>
      </w:pPr>
      <w:r>
        <w:t xml:space="preserve">ASML — Initiating Coverage</w:t>
      </w:r>
    </w:p>
    <w:p/>
    <w:p>
      <w:r>
        <w:rPr>
          <w:i/>
        </w:rPr>
        <w:t xml:space="preserve">as of พฤศจิกายน 2025 · latest: Q3 FY2025 (รายงานเมื่อ 15 ตุลาคม 2025)</w:t>
      </w:r>
    </w:p>
    <w:p/>
    <w:p>
      <w:pPr>
        <w:pStyle w:val="Heading2"/>
      </w:pPr>
      <w:r>
        <w:t xml:space="preserve">1. Business Description (ลักษณะธุรกิจ)</w:t>
      </w:r>
    </w:p>
    <w:p/>
    <w:p>
      <w:r>
        <w:rPr>
          <w:b/>
        </w:rPr>
        <w:t xml:space="preserve">Key takeaway:</w:t>
      </w:r>
      <w:r>
        <w:t xml:space="preserve"> ASML เป็นผู้ผลิตเครื่องจักร photolithography ชั้นนำของโลก และเป็น </w:t>
      </w:r>
      <w:r>
        <w:rPr>
          <w:i/>
        </w:rPr>
        <w:t xml:space="preserve">ผู้ผลิตเครื่อง EUV เพียงรายเดียว</w:t>
      </w:r>
      <w:r>
        <w:t xml:space="preserve"> ซึ่งจำเป็นสำหรับการผลิตชิปขั้นสูง (advanced nodes) ทำให้บริษัทอยู่ในจุดยุทธศาสตร์ของอุตสาหกรรมเซมิคอนดักเตอร์ทั่วโลก</w:t>
      </w:r>
    </w:p>
    <w:p/>
    <w:p>
      <w:pPr>
        <w:pStyle w:val="Heading3"/>
      </w:pPr>
      <w:r>
        <w:t xml:space="preserve">โมเดลรายได้ (Revenue Model)</w:t>
      </w:r>
    </w:p>
    <w:p>
      <w:pPr>
        <w:pStyle w:val="ListBullet"/>
        <w:numPr>
          <w:ilvl w:val="0"/>
          <w:numId w:val="1"/>
        </w:numPr>
      </w:pPr>
      <w:r>
        <w:t xml:space="preserve">ขายระบบ lithography ให้ผู้ผลิตชิป (foundries และ IDMs) เช่น TSMC, Samsung, Intel, SK Hynix, Micron</w:t>
      </w:r>
    </w:p>
    <w:p>
      <w:pPr>
        <w:pStyle w:val="ListBullet"/>
        <w:numPr>
          <w:ilvl w:val="0"/>
          <w:numId w:val="1"/>
        </w:numPr>
      </w:pPr>
      <w:r>
        <w:t xml:space="preserve">รายได้บริการ (Installed Base Management): บริการบำรุงรักษา อัพเกรด อะไหล่ — เป็นรายได้ recurring คุณภาพสูง</w:t>
      </w:r>
    </w:p>
    <w:p/>
    <w:p>
      <w:pPr>
        <w:pStyle w:val="Heading3"/>
      </w:pPr>
      <w:r>
        <w:t xml:space="preserve">กลุ่มผลิตภัณฑ์หลัก (Product Segments)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EUV (Extreme Ultraviolet):</w:t>
      </w:r>
      <w:r>
        <w:t xml:space="preserve"> สำหรับ leading-edge nodes (3nm, 2nm และต่ำกว่า) รวมถึง High-NA EUV (EXE:5000 series) ราคาประมาณ €350M+ ต่อเครื่อง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DUV (Deep Ultraviolet):</w:t>
      </w:r>
      <w:r>
        <w:t xml:space="preserve"> ทั้ง immersion และ dry lithography สำหรับ mature/mid nodes ยังคงเป็นสัดส่วนรายได้ใหญ่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Applications:</w:t>
      </w:r>
      <w:r>
        <w:t xml:space="preserve"> Metrology &amp; Inspection (จากการเข้าซื้อ HMI/Cymer)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Installed Base Management:</w:t>
      </w:r>
      <w:r>
        <w:t xml:space="preserve"> บริการหลังการขาย (ราว 25-30% ของรายได้รวม)</w:t>
      </w:r>
    </w:p>
    <w:p/>
    <w:p>
      <w:pPr>
        <w:pStyle w:val="Heading3"/>
      </w:pPr>
      <w:r>
        <w:t xml:space="preserve">สัดส่วนรายได้ตามภูมิภาค (Q3 2025, โดยประมาณ)</w:t>
      </w:r>
    </w:p>
    <w:p>
      <w:pPr>
        <w:pStyle w:val="ListBullet"/>
        <w:numPr>
          <w:ilvl w:val="0"/>
          <w:numId w:val="1"/>
        </w:numPr>
      </w:pPr>
      <w:r>
        <w:t xml:space="preserve">จีน (Mainland China): ราว 42% (ลดลงจากระดับสูงในปี 2024 จากผลของข้อจำกัดการส่งออก)</w:t>
      </w:r>
    </w:p>
    <w:p>
      <w:pPr>
        <w:pStyle w:val="ListBullet"/>
        <w:numPr>
          <w:ilvl w:val="0"/>
          <w:numId w:val="1"/>
        </w:numPr>
      </w:pPr>
      <w:r>
        <w:t xml:space="preserve">ไต้หวัน, เกาหลีใต้, สหรัฐฯ คิดเป็นส่วนหลักที่เหลือ</w:t>
      </w:r>
    </w:p>
    <w:p/>
    <w:p>
      <w:pPr>
        <w:pStyle w:val="Heading2"/>
      </w:pPr>
      <w:r>
        <w:t xml:space="preserve">2. Competitive Moat (คูเมืองการแข่งขัน)</w:t>
      </w:r>
    </w:p>
    <w:p/>
    <w:p>
      <w:r>
        <w:rPr>
          <w:b/>
        </w:rPr>
        <w:t xml:space="preserve">Key takeaway:</w:t>
      </w:r>
      <w:r>
        <w:t xml:space="preserve"> ASML มี moat ที่แข็งแกร่งที่สุดในกลุ่ม capital equipment โลก — </w:t>
      </w:r>
      <w:r>
        <w:rPr>
          <w:i/>
        </w:rPr>
        <w:t xml:space="preserve">ผูกขาดเชิงเทคโนโลยี</w:t>
      </w:r>
      <w:r>
        <w:t xml:space="preserve"> ใน EUV ผ่าน IP, supply chain ที่ซับซ้อน และต้นทุนเปลี่ยนผู้ขายที่สูงมาก</w:t>
      </w:r>
    </w:p>
    <w:p/>
    <w:p>
      <w:pPr>
        <w:pStyle w:val="Heading3"/>
      </w:pPr>
      <w:r>
        <w:t xml:space="preserve">IP &amp; Technology Monopoly</w:t>
      </w:r>
    </w:p>
    <w:p>
      <w:pPr>
        <w:pStyle w:val="ListBullet"/>
        <w:numPr>
          <w:ilvl w:val="0"/>
          <w:numId w:val="1"/>
        </w:numPr>
      </w:pPr>
      <w:r>
        <w:t xml:space="preserve">เป็นผู้ผลิต EUV รายเดียวในโลก หลังพัฒนาเทคโนโลยีร่วมกับ Zeiss (เลนส์) และ Cymer (light source) มากว่า 20 ปี</w:t>
      </w:r>
    </w:p>
    <w:p>
      <w:pPr>
        <w:pStyle w:val="ListBullet"/>
        <w:numPr>
          <w:ilvl w:val="0"/>
          <w:numId w:val="1"/>
        </w:numPr>
      </w:pPr>
      <w:r>
        <w:t xml:space="preserve">เครื่อง High-NA EUV (EXE:5000) เริ่มส่งมอบเชิงพาณิชย์แล้ว — ตอกย้ำ lead ทางเทคโนโลยีอีก 5-10 ปี</w:t>
      </w:r>
    </w:p>
    <w:p/>
    <w:p>
      <w:pPr>
        <w:pStyle w:val="Heading3"/>
      </w:pPr>
      <w:r>
        <w:t xml:space="preserve">Switching Costs</w:t>
      </w:r>
    </w:p>
    <w:p>
      <w:pPr>
        <w:pStyle w:val="ListBullet"/>
        <w:numPr>
          <w:ilvl w:val="0"/>
          <w:numId w:val="1"/>
        </w:numPr>
      </w:pPr>
      <w:r>
        <w:t xml:space="preserve">เครื่องลิโธกราฟี integrate ลึกกับ process flow ของลูกค้า การเปลี่ยนผู้ขายแทบเป็นไปไม่ได้ในระยะสั้น</w:t>
      </w:r>
    </w:p>
    <w:p>
      <w:pPr>
        <w:pStyle w:val="ListBullet"/>
        <w:numPr>
          <w:ilvl w:val="0"/>
          <w:numId w:val="1"/>
        </w:numPr>
      </w:pPr>
      <w:r>
        <w:t xml:space="preserve">ลูกค้าต้องลงทุนหลายปีในการ qualify เครื่องใหม่กับ design rules</w:t>
      </w:r>
    </w:p>
    <w:p/>
    <w:p>
      <w:pPr>
        <w:pStyle w:val="Heading3"/>
      </w:pPr>
      <w:r>
        <w:t xml:space="preserve">Scale &amp; Supply Chain</w:t>
      </w:r>
    </w:p>
    <w:p>
      <w:pPr>
        <w:pStyle w:val="ListBullet"/>
        <w:numPr>
          <w:ilvl w:val="0"/>
          <w:numId w:val="1"/>
        </w:numPr>
      </w:pPr>
      <w:r>
        <w:t xml:space="preserve">Supply chain ที่ซับซ้อน — ผู้ผลิตหลายร้อยรายทั่วโลก (Zeiss, TRUMPF เป็นต้น)</w:t>
      </w:r>
    </w:p>
    <w:p>
      <w:pPr>
        <w:pStyle w:val="ListBullet"/>
        <w:numPr>
          <w:ilvl w:val="0"/>
          <w:numId w:val="1"/>
        </w:numPr>
      </w:pPr>
      <w:r>
        <w:t xml:space="preserve">R&amp;D spend ระดับ €4B+ ต่อปี ที่คู่แข่ง (Nikon, Canon) ไม่สามารถตามทันได้ใน EUV</w:t>
      </w:r>
    </w:p>
    <w:p/>
    <w:p>
      <w:pPr>
        <w:pStyle w:val="Heading3"/>
      </w:pPr>
      <w:r>
        <w:t xml:space="preserve">Brand &amp; Customer Relationships</w:t>
      </w:r>
    </w:p>
    <w:p>
      <w:pPr>
        <w:pStyle w:val="ListBullet"/>
        <w:numPr>
          <w:ilvl w:val="0"/>
          <w:numId w:val="1"/>
        </w:numPr>
      </w:pPr>
      <w:r>
        <w:t xml:space="preserve">ลูกค้าหลัก (TSMC, Samsung, Intel) เป็นนักลงทุนเชิงกลยุทธ์ในอดีตผ่าน Customer Co-Investment Program</w:t>
      </w:r>
    </w:p>
    <w:p/>
    <w:p>
      <w:pPr>
        <w:pStyle w:val="Heading2"/>
      </w:pPr>
      <w:r>
        <w:t xml:space="preserve">3. Industry Overview (ภาพรวมอุตสาหกรรม)</w:t>
      </w:r>
    </w:p>
    <w:p/>
    <w:p>
      <w:r>
        <w:rPr>
          <w:b/>
        </w:rPr>
        <w:t xml:space="preserve">Key takeaway:</w:t>
      </w:r>
      <w:r>
        <w:t xml:space="preserve"> ตลาด WFE (Wafer Fab Equipment) ถูกขับเคลื่อนโดยกระแส AI/HPC, leading-edge logic และ memory แต่เผชิญแรงกดดันจากภูมิรัฐศาสตร์ระหว่างสหรัฐฯ-จีน-ยุโรป</w:t>
      </w:r>
    </w:p>
    <w:p/>
    <w:p>
      <w:pPr>
        <w:pStyle w:val="Heading3"/>
      </w:pPr>
      <w:r>
        <w:t xml:space="preserve">ขนาดและการเติบโตของตลาด (Market Size &amp; Growth)</w:t>
      </w:r>
    </w:p>
    <w:p>
      <w:pPr>
        <w:pStyle w:val="ListBullet"/>
        <w:numPr>
          <w:ilvl w:val="0"/>
          <w:numId w:val="1"/>
        </w:numPr>
      </w:pPr>
      <w:r>
        <w:t xml:space="preserve">ตลาด WFE ทั่วโลกปี 2025 ประเมินที่ ~$110-115B (estimate จาก SEMI/Gartner)</w:t>
      </w:r>
    </w:p>
    <w:p>
      <w:pPr>
        <w:pStyle w:val="ListBullet"/>
        <w:numPr>
          <w:ilvl w:val="0"/>
          <w:numId w:val="1"/>
        </w:numPr>
      </w:pPr>
      <w:r>
        <w:t xml:space="preserve">ASML ครองส่วนแบ่ง lithography เกือบ 90% และ EUV 100%</w:t>
      </w:r>
    </w:p>
    <w:p>
      <w:pPr>
        <w:pStyle w:val="ListBullet"/>
        <w:numPr>
          <w:ilvl w:val="0"/>
          <w:numId w:val="1"/>
        </w:numPr>
      </w:pPr>
      <w:r>
        <w:t xml:space="preserve">ASML guidance ระยะยาว: รายได้ปี 2030 อยู่ในกรอบ €44-60B (จาก Investor Day 2024)</w:t>
      </w:r>
    </w:p>
    <w:p/>
    <w:p>
      <w:pPr>
        <w:pStyle w:val="Heading3"/>
      </w:pPr>
      <w:r>
        <w:t xml:space="preserve">Competitive Landscape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Lithography:</w:t>
      </w:r>
      <w:r>
        <w:t xml:space="preserve"> ASML (dominant), Nikon และ Canon (DUV เท่านั้น, ส่วนแบ่งน้อย)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Broader WFE peers:</w:t>
      </w:r>
      <w:r>
        <w:t xml:space="preserve"> Applied Materials, Lam Research, Tokyo Electron, KLA — เป็นคู่ค้ามากกว่าคู่แข่งโดยตรง</w:t>
      </w:r>
    </w:p>
    <w:p/>
    <w:p>
      <w:pPr>
        <w:pStyle w:val="Heading3"/>
      </w:pPr>
      <w:r>
        <w:t xml:space="preserve">Geopolitical &amp; Regulatory Trends</w:t>
      </w:r>
    </w:p>
    <w:p>
      <w:pPr>
        <w:pStyle w:val="ListBullet"/>
        <w:numPr>
          <w:ilvl w:val="0"/>
          <w:numId w:val="1"/>
        </w:numPr>
      </w:pPr>
      <w:r>
        <w:t xml:space="preserve">ข้อจำกัดการส่งออก EUV ไปจีนตั้งแต่ปี 2019 และจำกัด DUV immersion (NXT:2000i ขึ้นไป) เพิ่มเติมตั้งแต่ปลายปี 2023</w:t>
      </w:r>
    </w:p>
    <w:p>
      <w:pPr>
        <w:pStyle w:val="ListBullet"/>
        <w:numPr>
          <w:ilvl w:val="0"/>
          <w:numId w:val="1"/>
        </w:numPr>
      </w:pPr>
      <w:r>
        <w:t xml:space="preserve">รัฐบาลเนเธอร์แลนด์ขยายมาตรการควบคุมการส่งออกตามแรงกดดันสหรัฐฯ ในปี 2024-2025</w:t>
      </w:r>
    </w:p>
    <w:p>
      <w:pPr>
        <w:pStyle w:val="ListBullet"/>
        <w:numPr>
          <w:ilvl w:val="0"/>
          <w:numId w:val="1"/>
        </w:numPr>
      </w:pPr>
      <w:r>
        <w:t xml:space="preserve">ความเสี่ยงในการได้รับมาตรการตอบโต้จากจีน (rare earth, gallium)</w:t>
      </w:r>
    </w:p>
    <w:p>
      <w:pPr>
        <w:pStyle w:val="ListBullet"/>
        <w:numPr>
          <w:ilvl w:val="0"/>
          <w:numId w:val="1"/>
        </w:numPr>
      </w:pPr>
      <w:r>
        <w:t xml:space="preserve">CHIPS Acts (US, EU, Japan, Korea) สนับสนุนการขยาย fab — เป็น tailwind ระยะกลาง</w:t>
      </w:r>
    </w:p>
    <w:p/>
    <w:p>
      <w:pPr>
        <w:pStyle w:val="Heading3"/>
      </w:pPr>
      <w:r>
        <w:t xml:space="preserve">Demand Drivers</w:t>
      </w:r>
    </w:p>
    <w:p>
      <w:pPr>
        <w:pStyle w:val="ListBullet"/>
        <w:numPr>
          <w:ilvl w:val="0"/>
          <w:numId w:val="1"/>
        </w:numPr>
      </w:pPr>
      <w:r>
        <w:t xml:space="preserve">AI accelerators (NVIDIA H100/B200, custom ASICs), HBM memory boom</w:t>
      </w:r>
    </w:p>
    <w:p>
      <w:pPr>
        <w:pStyle w:val="ListBullet"/>
        <w:numPr>
          <w:ilvl w:val="0"/>
          <w:numId w:val="1"/>
        </w:numPr>
      </w:pPr>
      <w:r>
        <w:t xml:space="preserve">การฟื้นตัวของ memory cycle ตั้งแต่ปลายปี 2024</w:t>
      </w:r>
    </w:p>
    <w:p/>
    <w:p>
      <w:pPr>
        <w:pStyle w:val="Heading2"/>
      </w:pPr>
      <w:r>
        <w:t xml:space="preserve">4. Financial Overview (ภาพรวมการเงิน)</w:t>
      </w:r>
    </w:p>
    <w:p/>
    <w:p>
      <w:r>
        <w:rPr>
          <w:b/>
        </w:rPr>
        <w:t xml:space="preserve">Key takeaway:</w:t>
      </w:r>
      <w:r>
        <w:t xml:space="preserve"> ASML กลับเข้าสู่ growth phase หลัง bookings พุ่งใน Q3 2025; gross margin ทรงตัวในระดับสูง 50%+; การคืนทุนทำผ่าน buyback และเงินปันผลที่เติบโต</w:t>
      </w:r>
    </w:p>
    <w:p/>
    <w:p>
      <w:pPr>
        <w:pStyle w:val="Heading3"/>
      </w:pPr>
      <w:r>
        <w:t xml:space="preserve">ผลประกอบการล่าสุด (Q3 2025)</w:t>
      </w:r>
    </w:p>
    <w:p>
      <w:pPr>
        <w:pStyle w:val="ListBullet"/>
        <w:numPr>
          <w:ilvl w:val="0"/>
          <w:numId w:val="1"/>
        </w:numPr>
      </w:pPr>
      <w:r>
        <w:t xml:space="preserve">รายได้สุทธิ: </w:t>
      </w:r>
      <w:r>
        <w:rPr>
          <w:b/>
        </w:rPr>
        <w:t xml:space="preserve">€7.5B</w:t>
      </w:r>
      <w:r>
        <w:t xml:space="preserve"> (เทียบกับ guidance €7.4-7.9B)</w:t>
      </w:r>
    </w:p>
    <w:p>
      <w:pPr>
        <w:pStyle w:val="ListBullet"/>
        <w:numPr>
          <w:ilvl w:val="0"/>
          <w:numId w:val="1"/>
        </w:numPr>
      </w:pPr>
      <w:r>
        <w:t xml:space="preserve">Gross margin: </w:t>
      </w:r>
      <w:r>
        <w:rPr>
          <w:b/>
        </w:rPr>
        <w:t xml:space="preserve">51.6%</w:t>
      </w:r>
    </w:p>
    <w:p>
      <w:pPr>
        <w:pStyle w:val="ListBullet"/>
        <w:numPr>
          <w:ilvl w:val="0"/>
          <w:numId w:val="1"/>
        </w:numPr>
      </w:pPr>
      <w:r>
        <w:t xml:space="preserve">Net income: </w:t>
      </w:r>
      <w:r>
        <w:rPr>
          <w:b/>
        </w:rPr>
        <w:t xml:space="preserve">€2.1B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Net bookings: €5.4B</w:t>
      </w:r>
      <w:r>
        <w:t xml:space="preserve"> — แข็งแกร่งกว่าคาด สะท้อน AI demand</w:t>
      </w:r>
    </w:p>
    <w:p>
      <w:pPr>
        <w:pStyle w:val="ListBullet"/>
        <w:numPr>
          <w:ilvl w:val="0"/>
          <w:numId w:val="1"/>
        </w:numPr>
      </w:pPr>
      <w:r>
        <w:t xml:space="preserve">EUV bookings สัดส่วนใหญ่ของ bookings</w:t>
      </w:r>
    </w:p>
    <w:p/>
    <w:p>
      <w:pPr>
        <w:pStyle w:val="Heading3"/>
      </w:pPr>
      <w:r>
        <w:t xml:space="preserve">Guidance ปี 2025 (จากบริษัท)</w:t>
      </w:r>
    </w:p>
    <w:p>
      <w:pPr>
        <w:pStyle w:val="ListBullet"/>
        <w:numPr>
          <w:ilvl w:val="0"/>
          <w:numId w:val="1"/>
        </w:numPr>
      </w:pPr>
      <w:r>
        <w:t xml:space="preserve">รายได้รวมปี 2025: คาดเติบโตประมาณ </w:t>
      </w:r>
      <w:r>
        <w:rPr>
          <w:b/>
        </w:rPr>
        <w:t xml:space="preserve">15%</w:t>
      </w:r>
      <w:r>
        <w:t xml:space="preserve"> YoY (รายได้ปี 2024 = €28.3B → ปี 2025 ~€32.5B estimate)</w:t>
      </w:r>
    </w:p>
    <w:p>
      <w:pPr>
        <w:pStyle w:val="ListBullet"/>
        <w:numPr>
          <w:ilvl w:val="0"/>
          <w:numId w:val="1"/>
        </w:numPr>
      </w:pPr>
      <w:r>
        <w:t xml:space="preserve">Gross margin ทั้งปี: ~52%</w:t>
      </w:r>
    </w:p>
    <w:p>
      <w:pPr>
        <w:pStyle w:val="ListBullet"/>
        <w:numPr>
          <w:ilvl w:val="0"/>
          <w:numId w:val="1"/>
        </w:numPr>
      </w:pPr>
      <w:r>
        <w:t xml:space="preserve">ปี 2026: บริษัทระบุว่า "growth ยังเป็นไปได้" แต่ไม่ได้ยืนยัน (sentiment ระมัดระวัง)</w:t>
      </w:r>
    </w:p>
    <w:p/>
    <w:p>
      <w:pPr>
        <w:pStyle w:val="Heading3"/>
      </w:pPr>
      <w:r>
        <w:t xml:space="preserve">แนวโน้มอัตรากำไร (Margin Trends)</w:t>
      </w:r>
    </w:p>
    <w:p>
      <w:pPr>
        <w:pStyle w:val="ListBullet"/>
        <w:numPr>
          <w:ilvl w:val="0"/>
          <w:numId w:val="1"/>
        </w:numPr>
      </w:pPr>
      <w:r>
        <w:t xml:space="preserve">Gross margin: 2021: 52.7% → 2022: 50.5% → 2023: 51.3% → 2024: 51.3% → 2025E: ~52%</w:t>
      </w:r>
    </w:p>
    <w:p>
      <w:pPr>
        <w:pStyle w:val="ListBullet"/>
        <w:numPr>
          <w:ilvl w:val="0"/>
          <w:numId w:val="1"/>
        </w:numPr>
      </w:pPr>
      <w:r>
        <w:t xml:space="preserve">Operating margin: ทรงตัวในกรอบ 30-33%</w:t>
      </w:r>
    </w:p>
    <w:p/>
    <w:p>
      <w:pPr>
        <w:pStyle w:val="Heading3"/>
      </w:pPr>
      <w:r>
        <w:t xml:space="preserve">Growth Track Record</w:t>
      </w:r>
    </w:p>
    <w:p>
      <w:pPr>
        <w:pStyle w:val="ListBullet"/>
        <w:numPr>
          <w:ilvl w:val="0"/>
          <w:numId w:val="1"/>
        </w:numPr>
      </w:pPr>
      <w:r>
        <w:t xml:space="preserve">รายได้ปี 2020: €14.0B → 2021: €18.6B → 2022: €21.2B → 2023: €27.6B → 2024: €28.3B</w:t>
      </w:r>
    </w:p>
    <w:p>
      <w:pPr>
        <w:pStyle w:val="ListBullet"/>
        <w:numPr>
          <w:ilvl w:val="0"/>
          <w:numId w:val="1"/>
        </w:numPr>
      </w:pPr>
      <w:r>
        <w:t xml:space="preserve">CAGR ~5 ปี ราว 15-17%</w:t>
      </w:r>
    </w:p>
    <w:p/>
    <w:p>
      <w:pPr>
        <w:pStyle w:val="Heading3"/>
      </w:pPr>
      <w:r>
        <w:t xml:space="preserve">Capital Allocation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Dividend:</w:t>
      </w:r>
      <w:r>
        <w:t xml:space="preserve"> เงินปันผลปี 2024 = €6.40/share (เพิ่มต่อเนื่อง); จ่ายระหว่างกาลเป็น quarterly + final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Buyback:</w:t>
      </w:r>
      <w:r>
        <w:t xml:space="preserve"> โครงการ buyback ปัจจุบัน €12B (2022-2025) ใกล้จบ; คาดมีโครงการต่อ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Capex:</w:t>
      </w:r>
      <w:r>
        <w:t xml:space="preserve"> ลงทุน ~€1.5-2B ต่อปี ในการขยายกำลังการผลิต (Veldhoven, Wilton, Berlin)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R&amp;D:</w:t>
      </w:r>
      <w:r>
        <w:t xml:space="preserve"> ~€4.3B ในปี 2024 (~15% ของรายได้)</w:t>
      </w:r>
    </w:p>
    <w:p>
      <w:pPr>
        <w:pStyle w:val="ListBullet"/>
        <w:numPr>
          <w:ilvl w:val="0"/>
          <w:numId w:val="1"/>
        </w:numPr>
      </w:pPr>
      <w:r>
        <w:t xml:space="preserve">Balance sheet: net cash position แข็งแกร่ง</w:t>
      </w:r>
    </w:p>
    <w:p/>
    <w:p>
      <w:pPr>
        <w:pStyle w:val="Heading2"/>
      </w:pPr>
      <w:r>
        <w:t xml:space="preserve">Risks to Watch</w:t>
      </w:r>
    </w:p>
    <w:p/>
    <w:p>
      <w:pPr>
        <w:pStyle w:val="ListBullet"/>
        <w:numPr>
          <w:ilvl w:val="0"/>
          <w:numId w:val="1"/>
        </w:numPr>
      </w:pPr>
      <w:r>
        <w:rPr>
          <w:b/>
        </w:rPr>
        <w:t xml:space="preserve">ภูมิรัฐศาสตร์:</w:t>
      </w:r>
      <w:r>
        <w:t xml:space="preserve"> การขยาย export controls เพิ่มเติมต่อจีน อาจกระทบรายได้ DUV (จีนคิดเป็น ~40% ของรายได้)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Customer concentration:</w:t>
      </w:r>
      <w:r>
        <w:t xml:space="preserve"> TSMC คิดเป็นสัดส่วนใหญ่ของ EUV demand; การชะลอ capex ของลูกค้ารายใหญ่กระทบทันที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Cyclicality:</w:t>
      </w:r>
      <w:r>
        <w:t xml:space="preserve"> อุตสาหกรรมเซมิคอนดักเตอร์มี cycle ชัดเจน — memory และ logic capex อาจหดตัวเมื่อจบ AI boom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High-NA ramp risk:</w:t>
      </w:r>
      <w:r>
        <w:t xml:space="preserve"> การยอมรับเครื่อง High-NA EUV ของลูกค้าช้ากว่าคาด (ราคาแพง, complexity สูง)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Supply chain:</w:t>
      </w:r>
      <w:r>
        <w:t xml:space="preserve"> การพึ่งพา Zeiss/TRUMPF เป็น single-source risk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Valuation:</w:t>
      </w:r>
      <w:r>
        <w:t xml:space="preserve"> หุ้นซื้อขายที่ premium multiple — ความผิดหวังเชิง guidance อาจกดดัน multiple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FX:</w:t>
      </w:r>
      <w:r>
        <w:t xml:space="preserve"> รายได้ส่วนใหญ่เป็น USD แต่ต้นทุนเป็น EUR — sensitivity สูง</w:t>
      </w:r>
    </w:p>
    <w:p/>
    <w:p>
      <w:r>
        <w:t xml:space="preserve">---</w:t>
      </w:r>
    </w:p>
    <w:p/>
    <w:p>
      <w:r>
        <w:rPr>
          <w:i/>
        </w:rPr>
        <w:t xml:space="preserve">รายงานฉบับนี้จัดทำเพื่อวัตถุประสงค์ด้านข้อมูลเท่านั้น มิใช่คำแนะนำการลงทุน นักลงทุนควรศึกษาข้อมูลและปรึกษาที่ปรึกษาทางการเงินก่อนตัดสินใจลงทุน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300" w:after="140"/>
      <w:outlineLvl w:val="0"/>
    </w:pPr>
    <w:rPr>
      <w:b/>
      <w:color w:val="1A7A4C"/>
      <w:sz w:val="40"/>
    </w:rPr>
  </w:style>
  <w:style w:type="paragraph" w:styleId="Heading2">
    <w:name w:val="heading 2"/>
    <w:basedOn w:val="Normal"/>
    <w:pPr>
      <w:spacing w:before="240" w:after="100"/>
      <w:outlineLvl w:val="1"/>
      <w:pBdr>
        <w:bottom w:val="single" w:sz="6" w:space="2" w:color="1A7A4C"/>
      </w:pBdr>
    </w:pPr>
    <w:rPr>
      <w:b/>
      <w:color w:val="1A7A4C"/>
      <w:sz w:val="28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sz w:val="24"/>
    </w:rPr>
  </w:style>
  <w:style w:type="paragraph" w:styleId="ListBullet">
    <w:name w:val="List Bullet"/>
    <w:basedOn w:val="Normal"/>
    <w:pPr>
      <w:spacing w:after="60"/>
    </w:pPr>
  </w:style>
  <w:style w:type="paragraph" w:styleId="Quote">
    <w:name w:val="Quote"/>
    <w:basedOn w:val="Normal"/>
    <w:rPr>
      <w:i/>
      <w:color w:val="5A5A5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