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I'll research the latest data on Palo Alto Networks before drafting the report.</w:t>
      </w:r>
    </w:p>
    <w:p/>
    <w:p>
      <w:r>
        <w:t xml:space="preserve">{"name": "web_search", "arguments": {"query": "Palo Alto Networks PANW latest quarterly earnings Q4 FY2025 results"}}</w:t>
      </w:r>
    </w:p>
    <w:p/>
    <w:p>
      <w:r>
        <w:t xml:space="preserve">{"name": "web_search", "arguments": {"query": "Palo Alto Networks Q1 FY2026 earnings results November 2025"}}</w:t>
      </w:r>
    </w:p>
    <w:p/>
    <w:p>
      <w:r>
        <w:t xml:space="preserve">{"name": "web_search", "arguments": {"query": "PANW Palo Alto Networks platformization strategy revenue segments 2025"}}</w:t>
      </w:r>
    </w:p>
    <w:p/>
    <w:p>
      <w:r>
        <w:t xml:space="preserve">{"name": "web_search", "arguments": {"query": "cybersecurity market size growth forecast 2025 Gartner IDC"}}</w:t>
      </w:r>
    </w:p>
    <w:p/>
    <w:p>
      <w:r>
        <w:t xml:space="preserve">{"name": "web_search", "arguments": {"query": "Palo Alto Networks CyberArk acquisition 2025"}}</w:t>
      </w:r>
    </w:p>
    <w:p/>
    <w:p>
      <w:r>
        <w:t xml:space="preserve">{"name": "web_search", "arguments": {"query": "PANW share buyback dividend capital allocation 2025"}}</w:t>
      </w:r>
    </w:p>
    <w:p/>
    <w:p>
      <w:pPr>
        <w:pStyle w:val="Heading1"/>
      </w:pPr>
      <w:r>
        <w:t xml:space="preserve">PANW — Initiating Coverage</w:t>
      </w:r>
    </w:p>
    <w:p/>
    <w:p>
      <w:r>
        <w:rPr>
          <w:i/>
        </w:rPr>
        <w:t xml:space="preserve">as of พฤศจิกายน 2025 · latest reported: Q4 FY2025 (สิ้นสุด 31 ก.ค. 2025); Q1 FY2026 คาดรายงานช่วงกลางพ.ย. 2025</w:t>
      </w:r>
    </w:p>
    <w:p/>
    <w:p>
      <w:pPr>
        <w:pStyle w:val="Heading2"/>
      </w:pPr>
      <w:r>
        <w:t xml:space="preserve">1. Business Description (คำอธิบายธุรกิจ)</w:t>
      </w:r>
    </w:p>
    <w:p/>
    <w:p>
      <w:r>
        <w:rPr>
          <w:b/>
        </w:rPr>
        <w:t xml:space="preserve">Key takeaway:</w:t>
      </w:r>
      <w:r>
        <w:t xml:space="preserve"> PANW เป็นผู้นำด้าน cybersecurity ระดับ enterprise ที่กำลังเปลี่ยนผ่านจากผู้ขาย firewall ฮาร์ดแวร์ดั้งเดิม สู่แพลตฟอร์ม security แบบครบวงจรผ่านกลยุทธ์ "platformization" ครอบคลุม network, cloud และ AI-driven security operations</w:t>
      </w:r>
    </w:p>
    <w:p/>
    <w:p>
      <w:pPr>
        <w:pStyle w:val="Heading3"/>
      </w:pPr>
      <w:r>
        <w:t xml:space="preserve">โครงสร้างธุรกิจหลัก</w:t>
      </w:r>
    </w:p>
    <w:p>
      <w:pPr>
        <w:pStyle w:val="ListBullet"/>
        <w:numPr>
          <w:ilvl w:val="0"/>
          <w:numId w:val="1"/>
        </w:numPr>
      </w:pPr>
      <w:r>
        <w:t xml:space="preserve">ก่อตั้งปี 2005 โดย Nir Zuk บุกเบิก next-generation firewall (NGFW); สำนักงานใหญ่ Santa Clara, California</w:t>
      </w:r>
    </w:p>
    <w:p>
      <w:pPr>
        <w:pStyle w:val="ListBullet"/>
        <w:numPr>
          <w:ilvl w:val="0"/>
          <w:numId w:val="1"/>
        </w:numPr>
      </w:pPr>
      <w:r>
        <w:t xml:space="preserve">CEO: Nikesh Arora (อดีต SoftBank/Google); ปัจจุบันให้บริการลูกค้ามากกว่า 80,000 รายในกว่า 150 ประเทศ</w:t>
      </w:r>
    </w:p>
    <w:p>
      <w:pPr>
        <w:pStyle w:val="ListBullet"/>
        <w:numPr>
          <w:ilvl w:val="0"/>
          <w:numId w:val="1"/>
        </w:numPr>
      </w:pPr>
      <w:r>
        <w:t xml:space="preserve">รายได้ FY2025 รวม ~$9.22B เติบโต ~15% YoY (ตามรายงานผลประกอบการบริษัท)</w:t>
      </w:r>
    </w:p>
    <w:p/>
    <w:p>
      <w:pPr>
        <w:pStyle w:val="Heading3"/>
      </w:pPr>
      <w:r>
        <w:t xml:space="preserve">Segment Breakdown (3 แพลตฟอร์มหลัก)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Network Security</w:t>
      </w:r>
      <w:r>
        <w:t xml:space="preserve"> (Strata): NGFW ทั้งฮาร์ดแวร์, VM-Series, และ Prisma Access (SASE) — เป็นฐานรายได้ดั้งเดิมขนาดใหญ่ที่สุด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Cloud Security</w:t>
      </w:r>
      <w:r>
        <w:t xml:space="preserve"> (Prisma Cloud): CNAPP, code-to-cloud security — แข่งกับ Wiz/CrowdStrike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Security Operations</w:t>
      </w:r>
      <w:r>
        <w:t xml:space="preserve"> (Cortex): XDR, XSIAM, XSOAR — เป็นกลุ่มเติบโตเร็วที่สุด ขับเคลื่อนด้วย AI/ML</w:t>
      </w:r>
    </w:p>
    <w:p>
      <w:pPr>
        <w:pStyle w:val="ListBullet"/>
        <w:numPr>
          <w:ilvl w:val="0"/>
          <w:numId w:val="1"/>
        </w:numPr>
      </w:pPr>
      <w:r>
        <w:t xml:space="preserve">รายได้แบ่งเป็น Product (~25-28%), Subscription &amp; Support (~72-75%) โดย subscription มีสัดส่วนเพิ่มขึ้นต่อเนื่อง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Next-Generation Security (NGS) ARR</w:t>
      </w:r>
      <w:r>
        <w:t xml:space="preserve">: ~$5.6B ณ สิ้น FY2025 เติบโต ~32% YoY — เป็นตัวชี้วัดสำคัญของ business model transition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ดีลใหญ่ล่าสุด</w:t>
      </w:r>
      <w:r>
        <w:t xml:space="preserve">: ประกาศซื้อ CyberArk (ผู้นำ Identity Security/PAM) ในปี 2025 มูลค่าประมาณ $25B เพื่อขยายเข้าสู่ identity-centric security</w:t>
      </w:r>
    </w:p>
    <w:p/>
    <w:p>
      <w:pPr>
        <w:pStyle w:val="Heading2"/>
      </w:pPr>
      <w:r>
        <w:t xml:space="preserve">2. Competitive Moat (ความได้เปรียบเชิงแข่งขัน)</w:t>
      </w:r>
    </w:p>
    <w:p/>
    <w:p>
      <w:r>
        <w:rPr>
          <w:b/>
        </w:rPr>
        <w:t xml:space="preserve">Key takeaway:</w:t>
      </w:r>
      <w:r>
        <w:t xml:space="preserve"> Moat ของ PANW มาจากการผสมระหว่าง switching costs ที่สูงในระดับ enterprise, scale ของฐานลูกค้า Fortune 100/Global 2000 และความได้เปรียบจาก data network effect จาก telemetry ขนาดใหญ่ที่ป้อนเข้าสู่ AI models</w:t>
      </w:r>
    </w:p>
    <w:p/>
    <w:p>
      <w:pPr>
        <w:pStyle w:val="Heading3"/>
      </w:pPr>
      <w:r>
        <w:t xml:space="preserve">Switching Costs (สูง)</w:t>
      </w:r>
    </w:p>
    <w:p>
      <w:pPr>
        <w:pStyle w:val="ListBullet"/>
        <w:numPr>
          <w:ilvl w:val="0"/>
          <w:numId w:val="1"/>
        </w:numPr>
      </w:pPr>
      <w:r>
        <w:t xml:space="preserve">Firewall และ security policies ฝังอยู่ในโครงสร้างพื้นฐานเครือข่ายลูกค้า การเปลี่ยนผู้ขายมีความเสี่ยงด้าน operational และต้นทุน migration สูง</w:t>
      </w:r>
    </w:p>
    <w:p>
      <w:pPr>
        <w:pStyle w:val="ListBullet"/>
        <w:numPr>
          <w:ilvl w:val="0"/>
          <w:numId w:val="1"/>
        </w:numPr>
      </w:pPr>
      <w:r>
        <w:t xml:space="preserve">Platformization ผูกลูกค้าด้วยหลายโมดูล: ลูกค้าที่ใช้ ≥3 แพลตฟอร์มมี NRR และ lifetime value สูงกว่ามาก</w:t>
      </w:r>
    </w:p>
    <w:p>
      <w:pPr>
        <w:pStyle w:val="ListBullet"/>
        <w:numPr>
          <w:ilvl w:val="0"/>
          <w:numId w:val="1"/>
        </w:numPr>
      </w:pPr>
      <w:r>
        <w:t xml:space="preserve">บริษัทรายงานว่ามี platformization deals มากกว่า 1,250 รายใน Top 5,000 ลูกค้า ตั้งเป้า 2,500-3,500 ราย ภายในปี 2030</w:t>
      </w:r>
    </w:p>
    <w:p/>
    <w:p>
      <w:pPr>
        <w:pStyle w:val="Heading3"/>
      </w:pPr>
      <w:r>
        <w:t xml:space="preserve">Scale &amp; Brand (ระดับสูง)</w:t>
      </w:r>
    </w:p>
    <w:p>
      <w:pPr>
        <w:pStyle w:val="ListBullet"/>
        <w:numPr>
          <w:ilvl w:val="0"/>
          <w:numId w:val="1"/>
        </w:numPr>
      </w:pPr>
      <w:r>
        <w:t xml:space="preserve">เป็น Leader ใน Gartner Magic Quadrant หลายหมวด: Network Firewalls, SSE, SASE</w:t>
      </w:r>
    </w:p>
    <w:p>
      <w:pPr>
        <w:pStyle w:val="ListBullet"/>
        <w:numPr>
          <w:ilvl w:val="0"/>
          <w:numId w:val="1"/>
        </w:numPr>
      </w:pPr>
      <w:r>
        <w:t xml:space="preserve">ขนาดงบ R&amp;D ~$1.6B+ ต่อปี ทำให้สามารถลงทุน AI/ML ได้ลึกกว่าคู่แข่งขนาดเล็ก</w:t>
      </w:r>
    </w:p>
    <w:p/>
    <w:p>
      <w:pPr>
        <w:pStyle w:val="Heading3"/>
      </w:pPr>
      <w:r>
        <w:t xml:space="preserve">Data Network Effects (กำลังเติบโต)</w:t>
      </w:r>
    </w:p>
    <w:p>
      <w:pPr>
        <w:pStyle w:val="ListBullet"/>
        <w:numPr>
          <w:ilvl w:val="0"/>
          <w:numId w:val="1"/>
        </w:numPr>
      </w:pPr>
      <w:r>
        <w:t xml:space="preserve">Telemetry จากหลายล้าน endpoints, firewalls และ cloud workloads ป้อนเข้า Precision AI และ Cortex XSIAM ช่วยให้การตรวจจับภัยคุกคามแม่นยำขึ้นตามจำนวนลูกค้าที่เพิ่ม</w:t>
      </w:r>
    </w:p>
    <w:p/>
    <w:p>
      <w:pPr>
        <w:pStyle w:val="Heading3"/>
      </w:pPr>
      <w:r>
        <w:t xml:space="preserve">IP &amp; Technology</w:t>
      </w:r>
    </w:p>
    <w:p>
      <w:pPr>
        <w:pStyle w:val="ListBullet"/>
        <w:numPr>
          <w:ilvl w:val="0"/>
          <w:numId w:val="1"/>
        </w:numPr>
      </w:pPr>
      <w:r>
        <w:t xml:space="preserve">พอร์ตสิทธิบัตร NGFW และ AI security จำนวนมาก; M&amp;A เชิงรุก (Talon, Dig Security, IBM QRadar SaaS assets, และดีล CyberArk ที่กำลังจะปิด) เพิ่มศักยภาพเชิง IP</w:t>
      </w:r>
    </w:p>
    <w:p/>
    <w:p>
      <w:pPr>
        <w:pStyle w:val="Heading3"/>
      </w:pPr>
      <w:r>
        <w:t xml:space="preserve">จุดอ่อนของ Moat</w:t>
      </w:r>
    </w:p>
    <w:p>
      <w:pPr>
        <w:pStyle w:val="ListBullet"/>
        <w:numPr>
          <w:ilvl w:val="0"/>
          <w:numId w:val="1"/>
        </w:numPr>
      </w:pPr>
      <w:r>
        <w:t xml:space="preserve">ใน cloud-native segment เผชิญ Wiz (ถูก Google ซื้อ ~$32B) และ CrowdStrike ที่มี agent-based moat แข็งกว่าใน endpoint</w:t>
      </w:r>
    </w:p>
    <w:p/>
    <w:p>
      <w:pPr>
        <w:pStyle w:val="Heading2"/>
      </w:pPr>
      <w:r>
        <w:t xml:space="preserve">3. Industry Overview (ภาพรวมอุตสาหกรรม)</w:t>
      </w:r>
    </w:p>
    <w:p/>
    <w:p>
      <w:r>
        <w:rPr>
          <w:b/>
        </w:rPr>
        <w:t xml:space="preserve">Key takeaway:</w:t>
      </w:r>
      <w:r>
        <w:t xml:space="preserve"> Cybersecurity เป็นหนึ่งใน secular growth themes ที่แข็งแกร่งที่สุดของ IT spending โดยเติบโต double-digit ต่อเนื่อง ได้รับแรงหนุนจาก AI threats, cloud migration และ regulatory pressure</w:t>
      </w:r>
    </w:p>
    <w:p/>
    <w:p>
      <w:pPr>
        <w:pStyle w:val="Heading3"/>
      </w:pPr>
      <w:r>
        <w:t xml:space="preserve">Market Size &amp; Growth</w:t>
      </w:r>
    </w:p>
    <w:p>
      <w:pPr>
        <w:pStyle w:val="ListBullet"/>
        <w:numPr>
          <w:ilvl w:val="0"/>
          <w:numId w:val="1"/>
        </w:numPr>
      </w:pPr>
      <w:r>
        <w:t xml:space="preserve">Gartner ประมาณการ global security &amp; risk management spending ปี 2025 อยู่ที่ ~$212B เติบโต ~15% YoY (ตัวเลขประมาณ — โปรดตรวจสอบรายงาน Gartner ฉบับล่าสุด)</w:t>
      </w:r>
    </w:p>
    <w:p>
      <w:pPr>
        <w:pStyle w:val="ListBullet"/>
        <w:numPr>
          <w:ilvl w:val="0"/>
          <w:numId w:val="1"/>
        </w:numPr>
      </w:pPr>
      <w:r>
        <w:t xml:space="preserve">ตลาด NGFW โตประมาณ single-digit %, แต่ SASE/SSE, CNAPP และ AI-driven SecOps โต 20-30%+</w:t>
      </w:r>
    </w:p>
    <w:p>
      <w:pPr>
        <w:pStyle w:val="ListBullet"/>
        <w:numPr>
          <w:ilvl w:val="0"/>
          <w:numId w:val="1"/>
        </w:numPr>
      </w:pPr>
      <w:r>
        <w:t xml:space="preserve">Total addressable market (TAM) ที่ PANW ระบุไว้ ~$180B+ ภายในปี 2030</w:t>
      </w:r>
    </w:p>
    <w:p/>
    <w:p>
      <w:pPr>
        <w:pStyle w:val="Heading3"/>
      </w:pPr>
      <w:r>
        <w:t xml:space="preserve">Competitive Landscape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Network Security</w:t>
      </w:r>
      <w:r>
        <w:t xml:space="preserve">: PANW vs Fortinet (FTNT), Cisco, Check Point, Zscaler (ZS)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Endpoint/XDR</w:t>
      </w:r>
      <w:r>
        <w:t xml:space="preserve">: CrowdStrike (CRWD), Microsoft Defender, SentinelOne (S)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Cloud Security</w:t>
      </w:r>
      <w:r>
        <w:t xml:space="preserve">: Wiz (Google), Microsoft, CrowdStrike, Lacework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Identity</w:t>
      </w:r>
      <w:r>
        <w:t xml:space="preserve">: Okta, Microsoft Entra, CyberArk (กำลังจะถูก PANW เข้าซื้อ)</w:t>
      </w:r>
    </w:p>
    <w:p>
      <w:pPr>
        <w:pStyle w:val="ListBullet"/>
        <w:numPr>
          <w:ilvl w:val="0"/>
          <w:numId w:val="1"/>
        </w:numPr>
      </w:pPr>
      <w:r>
        <w:t xml:space="preserve">Microsoft เป็นภัยคุกคามเชิงโครงสร้างจากการ bundling security เข้ากับ E5 license</w:t>
      </w:r>
    </w:p>
    <w:p/>
    <w:p>
      <w:pPr>
        <w:pStyle w:val="Heading3"/>
      </w:pPr>
      <w:r>
        <w:t xml:space="preserve">Regulatory &amp; Geopolitical</w:t>
      </w:r>
    </w:p>
    <w:p>
      <w:pPr>
        <w:pStyle w:val="ListBullet"/>
        <w:numPr>
          <w:ilvl w:val="0"/>
          <w:numId w:val="1"/>
        </w:numPr>
      </w:pPr>
      <w:r>
        <w:t xml:space="preserve">กฎ SEC cyber disclosure (4-day rule), NIS2 ของ EU, DORA สำหรับ financial services ในยุโรป กระตุ้น spending ระยะยาว</w:t>
      </w:r>
    </w:p>
    <w:p>
      <w:pPr>
        <w:pStyle w:val="ListBullet"/>
        <w:numPr>
          <w:ilvl w:val="0"/>
          <w:numId w:val="1"/>
        </w:numPr>
      </w:pPr>
      <w:r>
        <w:t xml:space="preserve">ภัยคุกคามจาก state-sponsored actors (รัสเซีย, จีน, เกาหลีเหนือ, อิหร่าน) และ AI-generated attacks ผลักดันงบ security ของ enterprise และภาครัฐ</w:t>
      </w:r>
    </w:p>
    <w:p>
      <w:pPr>
        <w:pStyle w:val="ListBullet"/>
        <w:numPr>
          <w:ilvl w:val="0"/>
          <w:numId w:val="1"/>
        </w:numPr>
      </w:pPr>
      <w:r>
        <w:t xml:space="preserve">Export controls และข้อจำกัดในจีนเป็นความเสี่ยงต่อ supply chain ของฮาร์ดแวร์</w:t>
      </w:r>
    </w:p>
    <w:p/>
    <w:p>
      <w:pPr>
        <w:pStyle w:val="Heading2"/>
      </w:pPr>
      <w:r>
        <w:t xml:space="preserve">4. Financial Overview (ภาพรวมการเงิน)</w:t>
      </w:r>
    </w:p>
    <w:p/>
    <w:p>
      <w:r>
        <w:rPr>
          <w:b/>
        </w:rPr>
        <w:t xml:space="preserve">Key takeaway:</w:t>
      </w:r>
      <w:r>
        <w:t xml:space="preserve"> PANW แสดงประวัติเติบโต revenue ระดับ 15-25% ต่อเนื่อง พร้อม margin expansion อย่างมีนัยสำคัญ และเปลี่ยนสถานะเป็นบริษัทที่ทำกำไร GAAP เต็มปีในช่วงปี FY2023-FY2025 พร้อม FCF margin ระดับ 35%+ ที่โดดเด่นในกลุ่ม software</w:t>
      </w:r>
    </w:p>
    <w:p/>
    <w:p>
      <w:pPr>
        <w:pStyle w:val="Heading3"/>
      </w:pPr>
      <w:r>
        <w:t xml:space="preserve">Growth Track Record</w:t>
      </w:r>
    </w:p>
    <w:p>
      <w:pPr>
        <w:pStyle w:val="ListBullet"/>
        <w:numPr>
          <w:ilvl w:val="0"/>
          <w:numId w:val="1"/>
        </w:numPr>
      </w:pPr>
      <w:r>
        <w:t xml:space="preserve">รายได้: FY2022 ~$5.5B → FY2023 ~$6.9B (+25%) → FY2024 ~$8.0B (+16%) → FY2025 ~$9.22B (+15%)</w:t>
      </w:r>
    </w:p>
    <w:p>
      <w:pPr>
        <w:pStyle w:val="ListBullet"/>
        <w:numPr>
          <w:ilvl w:val="0"/>
          <w:numId w:val="1"/>
        </w:numPr>
      </w:pPr>
      <w:r>
        <w:t xml:space="preserve">NGS ARR เติบโต 30%+ ต่อเนื่องหลายไตรมาส สะท้อนการ shift mix สู่ subscription</w:t>
      </w:r>
    </w:p>
    <w:p>
      <w:pPr>
        <w:pStyle w:val="ListBullet"/>
        <w:numPr>
          <w:ilvl w:val="0"/>
          <w:numId w:val="1"/>
        </w:numPr>
      </w:pPr>
      <w:r>
        <w:t xml:space="preserve">RPO (Remaining Performance Obligations) เกิน $13B ณ สิ้น FY2025 สะท้อน revenue visibility ที่แข็งแกร่ง</w:t>
      </w:r>
    </w:p>
    <w:p/>
    <w:p>
      <w:pPr>
        <w:pStyle w:val="Heading3"/>
      </w:pPr>
      <w:r>
        <w:t xml:space="preserve">Margin Trends</w:t>
      </w:r>
    </w:p>
    <w:p>
      <w:pPr>
        <w:pStyle w:val="ListBullet"/>
        <w:numPr>
          <w:ilvl w:val="0"/>
          <w:numId w:val="1"/>
        </w:numPr>
      </w:pPr>
      <w:r>
        <w:t xml:space="preserve">Non-GAAP gross margin ~75-77% ทรงตัวระดับสูง</w:t>
      </w:r>
    </w:p>
    <w:p>
      <w:pPr>
        <w:pStyle w:val="ListBullet"/>
        <w:numPr>
          <w:ilvl w:val="0"/>
          <w:numId w:val="1"/>
        </w:numPr>
      </w:pPr>
      <w:r>
        <w:t xml:space="preserve">Non-GAAP operating margin: FY2022 ~19% → FY2025 ~28-29% สะท้อน operating leverage ที่ดี</w:t>
      </w:r>
    </w:p>
    <w:p>
      <w:pPr>
        <w:pStyle w:val="ListBullet"/>
        <w:numPr>
          <w:ilvl w:val="0"/>
          <w:numId w:val="1"/>
        </w:numPr>
      </w:pPr>
      <w:r>
        <w:t xml:space="preserve">GAAP net income: FY2024 ได้รับ one-time benefit จาก deferred tax valuation allowance release; FY2025 รายงานเป็นกำไรปกติ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Free cash flow margin</w:t>
      </w:r>
      <w:r>
        <w:t xml:space="preserve">: ~37-39% เป็นหนึ่งใน best-in-class ของ software sector; FCF FY2025 ~$3.5B (ประมาณการจากรายงานบริษัท)</w:t>
      </w:r>
    </w:p>
    <w:p/>
    <w:p>
      <w:pPr>
        <w:pStyle w:val="Heading3"/>
      </w:pPr>
      <w:r>
        <w:t xml:space="preserve">Capital Allocation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Buybacks</w:t>
      </w:r>
      <w:r>
        <w:t xml:space="preserve">: บอร์ดอนุมัติเพิ่มวงเงิน share repurchase หลายครั้ง รวม authorization คงเหลือกว่า $1B+ ณ สิ้น FY2025; การซื้อหุ้นคืนใช้ชดเชย SBC dilution เป็นหลัก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Dividends</w:t>
      </w:r>
      <w:r>
        <w:t xml:space="preserve">: ไม่มี cash dividend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M&amp;A</w:t>
      </w:r>
      <w:r>
        <w:t xml:space="preserve">: Strategy เน้น tuck-in (Talon, Dig, QRadar SaaS) บวกดีลใหญ่ CyberArk (~$25B, mixed stock/cash) — ดีลที่ใหญ่ที่สุดในประวัติศาสตร์บริษัท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Capex</w:t>
      </w:r>
      <w:r>
        <w:t xml:space="preserve">: เบา เพราะเป็น software-centric; capex/sales ต่ำกว่า 3%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Stock-based compensation</w:t>
      </w:r>
      <w:r>
        <w:t xml:space="preserve">: ~20%+ ของรายได้ เป็นจุดที่นักลงทุนเฝ้าระวัง แม้บริษัทตั้งเป้าลดลงต่อเนื่อง</w:t>
      </w:r>
    </w:p>
    <w:p/>
    <w:p>
      <w:pPr>
        <w:pStyle w:val="Heading2"/>
      </w:pPr>
      <w:r>
        <w:t xml:space="preserve">Risks to Watch</w:t>
      </w:r>
    </w:p>
    <w:p/>
    <w:p>
      <w:pPr>
        <w:pStyle w:val="ListBullet"/>
        <w:numPr>
          <w:ilvl w:val="0"/>
          <w:numId w:val="1"/>
        </w:numPr>
      </w:pPr>
      <w:r>
        <w:rPr>
          <w:b/>
        </w:rPr>
        <w:t xml:space="preserve">Dilution &amp; integration risk จากดีล CyberArk</w:t>
      </w:r>
      <w:r>
        <w:t xml:space="preserve"> — ขนาดดีลใหญ่ที่สุดในประวัติศาสตร์บริษัท อาจกระทบ EPS ระยะสั้นและมีความเสี่ยงด้าน execution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Stock-based compensation สูง</w:t>
      </w:r>
      <w:r>
        <w:t xml:space="preserve"> กดดัน GAAP earnings และก่อ dilution อย่างต่อเนื่อง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การแข่งขันรุนแรงจาก Microsoft</w:t>
      </w:r>
      <w:r>
        <w:t xml:space="preserve"> ที่ bundling security เข้ากับ E5/M365 อาจกระทบ pricing power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Cloud security pressure จาก Wiz (Google)</w:t>
      </w:r>
      <w:r>
        <w:t xml:space="preserve"> หลังดีลปิดอาจมี GTM ที่แข็งกว่าเดิม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Macro/IT budget</w:t>
      </w:r>
      <w:r>
        <w:t xml:space="preserve">: หาก enterprise spending ชะลอ อาจกระทบ deal cycle และ platformization adoption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Valuation premium</w:t>
      </w:r>
      <w:r>
        <w:t xml:space="preserve">: PANW ซื้อขายที่ EV/Sales และ P/FCF ระดับสูงเทียบ peer อื่นๆ ความเสี่ยง multiple compression มีนัยสำคัญหากการเติบโตชะลอ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Geopolitical &amp; regulatory</w:t>
      </w:r>
      <w:r>
        <w:t xml:space="preserve">: ข้อจำกัดการส่งออก, sanctions, และความเสี่ยงทาง supply chain ของฮาร์ดแวร์</w:t>
      </w:r>
    </w:p>
    <w:p/>
    <w:p>
      <w:r>
        <w:rPr>
          <w:i/>
        </w:rPr>
        <w:t xml:space="preserve">ข้อมูลในรายงานนี้จัดทำเพื่อจุดประสงค์ทางการศึกษาและเชิงข้อมูลเท่านั้น ไม่ถือเป็นคำแนะนำการลงทุน นักลงทุนควรตรวจสอบเอกสารทางการของบริษัท (10-K, 10-Q, press releases) และปรึกษาที่ปรึกษาทางการเงินก่อนตัดสินใจลงทุน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ahoma" w:hAnsi="Tahoma" w:cs="Tahoma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00" w:after="140"/>
      <w:outlineLvl w:val="0"/>
    </w:pPr>
    <w:rPr>
      <w:b/>
      <w:color w:val="1A7A4C"/>
      <w:sz w:val="40"/>
    </w:rPr>
  </w:style>
  <w:style w:type="paragraph" w:styleId="Heading2">
    <w:name w:val="heading 2"/>
    <w:basedOn w:val="Normal"/>
    <w:pPr>
      <w:spacing w:before="240" w:after="100"/>
      <w:outlineLvl w:val="1"/>
      <w:pBdr>
        <w:bottom w:val="single" w:sz="6" w:space="2" w:color="1A7A4C"/>
      </w:pBdr>
    </w:pPr>
    <w:rPr>
      <w:b/>
      <w:color w:val="1A7A4C"/>
      <w:sz w:val="28"/>
    </w:rPr>
  </w:style>
  <w:style w:type="paragraph" w:styleId="Heading3">
    <w:name w:val="heading 3"/>
    <w:basedOn w:val="Normal"/>
    <w:pPr>
      <w:spacing w:before="160" w:after="80"/>
      <w:outlineLvl w:val="2"/>
    </w:pPr>
    <w:rPr>
      <w:b/>
      <w:sz w:val="24"/>
    </w:rPr>
  </w:style>
  <w:style w:type="paragraph" w:styleId="ListBullet">
    <w:name w:val="List Bullet"/>
    <w:basedOn w:val="Normal"/>
    <w:pPr>
      <w:spacing w:after="60"/>
    </w:pPr>
  </w:style>
  <w:style w:type="paragraph" w:styleId="Quote">
    <w:name w:val="Quote"/>
    <w:basedOn w:val="Normal"/>
    <w:rPr>
      <w:i/>
      <w:color w:val="5A5A5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