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I'll search for the latest Microsoft data before drafting the report.</w:t>
      </w:r>
    </w:p>
    <w:p/>
    <w:p>
      <w:r>
        <w:t xml:space="preserve">{"name": "web_search", "arguments": {"query": "Microsoft MSFT Q1 FY2026 earnings results October 2025"}}</w:t>
      </w:r>
    </w:p>
    <w:p/>
    <w:p>
      <w:r>
        <w:t xml:space="preserve">{"name": "web_search", "arguments": {"query": "Microsoft latest quarterly results revenue segments 2025"}}</w:t>
      </w:r>
    </w:p>
    <w:p/>
    <w:p>
      <w:r>
        <w:t xml:space="preserve">{"name": "web_search", "arguments": {"query": "Microsoft Azure growth rate Q1 FY2026"}}</w:t>
      </w:r>
    </w:p>
    <w:p/>
    <w:p>
      <w:r>
        <w:t xml:space="preserve">{"name": "web_search", "arguments": {"query": "Microsoft capex AI infrastructure 2025 2026"}}</w:t>
      </w:r>
    </w:p>
    <w:p/>
    <w:p>
      <w:r>
        <w:t xml:space="preserve">{"name": "web_search", "arguments": {"query": "Microsoft dividend buyback fiscal 2025 capital return"}}</w:t>
      </w:r>
    </w:p>
    <w:p/>
    <w:p>
      <w:r>
        <w:t xml:space="preserve">{"name": "web_search", "arguments": {"query": "cloud computing market size 2025 AWS Azure Google Cloud market share"}}</w:t>
      </w:r>
    </w:p>
    <w:p/>
    <w:p>
      <w:r>
        <w:t xml:space="preserve">{"name": "web_search", "arguments": {"query": "Microsoft FTC EU regulatory antitrust 2025"}}</w:t>
      </w:r>
    </w:p>
    <w:p/>
    <w:p>
      <w:pPr>
        <w:pStyle w:val="Heading1"/>
      </w:pPr>
      <w:r>
        <w:t xml:space="preserve">MSFT — Initiating Coverage</w:t>
      </w:r>
    </w:p>
    <w:p/>
    <w:p>
      <w:r>
        <w:rPr>
          <w:i/>
        </w:rPr>
        <w:t xml:space="preserve">ณ วันที่อ้างอิงข้อมูลสาธารณะล่าสุด · งวดล่าสุด: Q1 FY2026 (สิ้นสุด 30 ก.ย. 2025)</w:t>
      </w:r>
    </w:p>
    <w:p/>
    <w:p>
      <w:pPr>
        <w:pStyle w:val="Heading2"/>
      </w:pPr>
      <w:r>
        <w:t xml:space="preserve">1. Business Description (ลักษณะธุรกิจ)</w:t>
      </w:r>
    </w:p>
    <w:p/>
    <w:p>
      <w:r>
        <w:rPr>
          <w:b/>
        </w:rPr>
        <w:t xml:space="preserve">Key takeaway:</w:t>
      </w:r>
      <w:r>
        <w:t xml:space="preserve"> Microsoft เป็นบริษัทเทคโนโลยีระดับโลกที่สร้างรายได้จากซอฟต์แวร์, คลาวด์ และผลิตภัณฑ์เพื่อผู้บริโภค โดยมี Azure และ Microsoft 365 เป็นเครื่องยนต์การเติบโตหลัก ขับเคลื่อนด้วยกระแส AI</w:t>
      </w:r>
    </w:p>
    <w:p/>
    <w:p>
      <w:pPr>
        <w:pStyle w:val="Heading3"/>
      </w:pPr>
      <w:r>
        <w:t xml:space="preserve">ภาพรวมธุรกิจ</w:t>
      </w:r>
    </w:p>
    <w:p>
      <w:pPr>
        <w:pStyle w:val="ListBullet"/>
        <w:numPr>
          <w:ilvl w:val="0"/>
          <w:numId w:val="1"/>
        </w:numPr>
      </w:pPr>
      <w:r>
        <w:t xml:space="preserve">บริษัทออกแบบ พัฒนา และจำหน่ายซอฟต์แวร์, อุปกรณ์, บริการคลาวด์ และโซลูชัน AI ให้กับลูกค้าทั้งองค์กรและผู้บริโภคทั่วโลก</w:t>
      </w:r>
    </w:p>
    <w:p>
      <w:pPr>
        <w:pStyle w:val="ListBullet"/>
        <w:numPr>
          <w:ilvl w:val="0"/>
          <w:numId w:val="1"/>
        </w:numPr>
      </w:pPr>
      <w:r>
        <w:t xml:space="preserve">เป็นพันธมิตรหลักและผู้ลงทุนรายใหญ่ใน OpenAI ทำให้ AI ถูกฝังในผลิตภัณฑ์ตั้งแต่ Copilot, Azure OpenAI Service จนถึง GitHub Copilot</w:t>
      </w:r>
    </w:p>
    <w:p/>
    <w:p>
      <w:pPr>
        <w:pStyle w:val="Heading3"/>
      </w:pPr>
      <w:r>
        <w:t xml:space="preserve">โครงสร้างรายได้ตาม Segment (อิงข้อมูลที่บริษัทเปิดเผย Q1 FY2026)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Productivity and Business Processes</w:t>
      </w:r>
      <w:r>
        <w:t xml:space="preserve"> (Microsoft 365 Commercial/Consumer, Teams, LinkedIn, Dynamics 365): รายได้ราว $33.0B ใน Q1 FY2026 (estimate ตามรายงานสื่อ)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Intelligent Cloud</w:t>
      </w:r>
      <w:r>
        <w:t xml:space="preserve"> (Azure, Server Products, Enterprise Services, GitHub, Nuance): รายได้ราว $30.9B ใน Q1 FY2026; Azure &amp; other cloud services เติบโต ~39–40% YoY (ตามข่าวรายงานผล)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More Personal Computing</w:t>
      </w:r>
      <w:r>
        <w:t xml:space="preserve"> (Windows OEM, Devices, Gaming รวม Activision Blizzard, Search &amp; News Ads): รายได้ราว $13.8B ใน Q1 FY2026 (estimate)</w:t>
      </w:r>
    </w:p>
    <w:p>
      <w:pPr>
        <w:pStyle w:val="ListBullet"/>
        <w:numPr>
          <w:ilvl w:val="0"/>
          <w:numId w:val="1"/>
        </w:numPr>
      </w:pPr>
      <w:r>
        <w:t xml:space="preserve">รายได้รวม Q1 FY2026: ~$77.7B (+18% YoY ตามข่าวรายงานผล); Net income ~$27.7B (estimate ตามที่สื่อรายงาน)</w:t>
      </w:r>
    </w:p>
    <w:p/>
    <w:p>
      <w:pPr>
        <w:pStyle w:val="Heading2"/>
      </w:pPr>
      <w:r>
        <w:t xml:space="preserve">2. Competitive Moat (ความได้เปรียบเชิงแข่งขัน)</w:t>
      </w:r>
    </w:p>
    <w:p/>
    <w:p>
      <w:r>
        <w:rPr>
          <w:b/>
        </w:rPr>
        <w:t xml:space="preserve">Key takeaway:</w:t>
      </w:r>
      <w:r>
        <w:t xml:space="preserve"> Microsoft มี moat ที่กว้างและลึกที่สุดรายหนึ่งในโลกเทคโนโลยี โดยรวม switching costs, network effects, scale และ IP เข้าด้วยกัน</w:t>
      </w:r>
    </w:p>
    <w:p/>
    <w:p>
      <w:pPr>
        <w:pStyle w:val="Heading3"/>
      </w:pPr>
      <w:r>
        <w:t xml:space="preserve">Switching Costs (สูงมาก)</w:t>
      </w:r>
    </w:p>
    <w:p>
      <w:pPr>
        <w:pStyle w:val="ListBullet"/>
        <w:numPr>
          <w:ilvl w:val="0"/>
          <w:numId w:val="1"/>
        </w:numPr>
      </w:pPr>
      <w:r>
        <w:t xml:space="preserve">องค์กรลูกค้าผูกติดกับ Microsoft 365, Active Directory/Entra ID, Windows Server และ Azure ซึ่งย้ายระบบมีต้นทุนสูงทั้งด้าน data migration, retraining และ integration</w:t>
      </w:r>
    </w:p>
    <w:p>
      <w:pPr>
        <w:pStyle w:val="ListBullet"/>
        <w:numPr>
          <w:ilvl w:val="0"/>
          <w:numId w:val="1"/>
        </w:numPr>
      </w:pPr>
      <w:r>
        <w:t xml:space="preserve">Enterprise Agreements ที่เป็นสัญญาหลายปีตอกย้ำ lock-in</w:t>
      </w:r>
    </w:p>
    <w:p/>
    <w:p>
      <w:pPr>
        <w:pStyle w:val="Heading3"/>
      </w:pPr>
      <w:r>
        <w:t xml:space="preserve">Network Effects</w:t>
      </w:r>
    </w:p>
    <w:p>
      <w:pPr>
        <w:pStyle w:val="ListBullet"/>
        <w:numPr>
          <w:ilvl w:val="0"/>
          <w:numId w:val="1"/>
        </w:numPr>
      </w:pPr>
      <w:r>
        <w:t xml:space="preserve">LinkedIn (&gt;1B ผู้ใช้) สร้าง network effect ในตลาดแรงงานและ B2B sales</w:t>
      </w:r>
    </w:p>
    <w:p>
      <w:pPr>
        <w:pStyle w:val="ListBullet"/>
        <w:numPr>
          <w:ilvl w:val="0"/>
          <w:numId w:val="1"/>
        </w:numPr>
      </w:pPr>
      <w:r>
        <w:t xml:space="preserve">Teams + Microsoft 365 ผูกกับ ecosystem ของพาร์ทเนอร์, นักพัฒนา และ ISVs หลายแสนราย</w:t>
      </w:r>
    </w:p>
    <w:p>
      <w:pPr>
        <w:pStyle w:val="ListBullet"/>
        <w:numPr>
          <w:ilvl w:val="0"/>
          <w:numId w:val="1"/>
        </w:numPr>
      </w:pPr>
      <w:r>
        <w:t xml:space="preserve">GitHub (&gt;100M developers ตามที่บริษัทเคยเปิดเผย) เป็น hub ของ developer community ระดับโลก</w:t>
      </w:r>
    </w:p>
    <w:p/>
    <w:p>
      <w:pPr>
        <w:pStyle w:val="Heading3"/>
      </w:pPr>
      <w:r>
        <w:t xml:space="preserve">Scale &amp; Cost Advantage</w:t>
      </w:r>
    </w:p>
    <w:p>
      <w:pPr>
        <w:pStyle w:val="ListBullet"/>
        <w:numPr>
          <w:ilvl w:val="0"/>
          <w:numId w:val="1"/>
        </w:numPr>
      </w:pPr>
      <w:r>
        <w:t xml:space="preserve">Azure เป็นหนึ่งใน hyperscaler 3 รายที่มี data center หลายสิบ regions ทั่วโลก — barrier to entry สูงมากเนื่องจาก capex หลายแสนล้านดอลลาร์</w:t>
      </w:r>
    </w:p>
    <w:p>
      <w:pPr>
        <w:pStyle w:val="ListBullet"/>
        <w:numPr>
          <w:ilvl w:val="0"/>
          <w:numId w:val="1"/>
        </w:numPr>
      </w:pPr>
      <w:r>
        <w:t xml:space="preserve">กำลังลงทุน capex &gt;$80B ในปีงบประมาณ FY2025 และยังเร่งขึ้นใน FY2026 ตามที่ฝ่ายบริหารชี้แนะ</w:t>
      </w:r>
    </w:p>
    <w:p/>
    <w:p>
      <w:pPr>
        <w:pStyle w:val="Heading3"/>
      </w:pPr>
      <w:r>
        <w:t xml:space="preserve">IP &amp; Brand</w:t>
      </w:r>
    </w:p>
    <w:p>
      <w:pPr>
        <w:pStyle w:val="ListBullet"/>
        <w:numPr>
          <w:ilvl w:val="0"/>
          <w:numId w:val="1"/>
        </w:numPr>
      </w:pPr>
      <w:r>
        <w:t xml:space="preserve">Windows, Office, Xbox เป็นแบรนด์ระดับโลกที่ครองส่วนแบ่งสูง</w:t>
      </w:r>
    </w:p>
    <w:p>
      <w:pPr>
        <w:pStyle w:val="ListBullet"/>
        <w:numPr>
          <w:ilvl w:val="0"/>
          <w:numId w:val="1"/>
        </w:numPr>
      </w:pPr>
      <w:r>
        <w:t xml:space="preserve">ความร่วมมือเชิงกลยุทธ์กับ OpenAI ให้สิทธิ์ในการนำโมเดล GPT มาฝังใน stack ของตน เป็น IP-driven moat ที่หาเทียบได้ยาก</w:t>
      </w:r>
    </w:p>
    <w:p/>
    <w:p>
      <w:pPr>
        <w:pStyle w:val="Heading2"/>
      </w:pPr>
      <w:r>
        <w:t xml:space="preserve">3. Industry Overview (ภาพอุตสาหกรรม)</w:t>
      </w:r>
    </w:p>
    <w:p/>
    <w:p>
      <w:r>
        <w:rPr>
          <w:b/>
        </w:rPr>
        <w:t xml:space="preserve">Key takeaway:</w:t>
      </w:r>
      <w:r>
        <w:t xml:space="preserve"> Microsoft เล่นในตลาด cloud + enterprise software + AI ที่เติบโตเร็วระดับ double-digit แต่กำลังเผชิญการจับตามองจากหน่วยงานกำกับดูแลทั่วโลก</w:t>
      </w:r>
    </w:p>
    <w:p/>
    <w:p>
      <w:pPr>
        <w:pStyle w:val="Heading3"/>
      </w:pPr>
      <w:r>
        <w:t xml:space="preserve">Market Size &amp; Growth</w:t>
      </w:r>
    </w:p>
    <w:p>
      <w:pPr>
        <w:pStyle w:val="ListBullet"/>
        <w:numPr>
          <w:ilvl w:val="0"/>
          <w:numId w:val="1"/>
        </w:numPr>
      </w:pPr>
      <w:r>
        <w:t xml:space="preserve">ตลาด public cloud services ทั่วโลกประเมินมูลค่า &gt;$700B ในปี 2025 และคาดเติบโต CAGR ~18–20% (อ้างอิงประมาณการของ Gartner/IDC; estimate)</w:t>
      </w:r>
    </w:p>
    <w:p>
      <w:pPr>
        <w:pStyle w:val="ListBullet"/>
        <w:numPr>
          <w:ilvl w:val="0"/>
          <w:numId w:val="1"/>
        </w:numPr>
      </w:pPr>
      <w:r>
        <w:t xml:space="preserve">ตลาด Generative AI software &amp; infrastructure คาดโตจากหลักสิบพันล้านสู่หลักหลายแสนล้านภายในปี 2030 (estimate ตามรายงานอุตสาหกรรม)</w:t>
      </w:r>
    </w:p>
    <w:p>
      <w:pPr>
        <w:pStyle w:val="ListBullet"/>
        <w:numPr>
          <w:ilvl w:val="0"/>
          <w:numId w:val="1"/>
        </w:numPr>
      </w:pPr>
      <w:r>
        <w:t xml:space="preserve">ตลาด enterprise SaaS โดยรวมยังเติบโตประมาณ 12–15% ต่อปี</w:t>
      </w:r>
    </w:p>
    <w:p/>
    <w:p>
      <w:pPr>
        <w:pStyle w:val="Heading3"/>
      </w:pPr>
      <w:r>
        <w:t xml:space="preserve">Competitive Landscape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Cloud IaaS/PaaS:</w:t>
      </w:r>
      <w:r>
        <w:t xml:space="preserve"> AWS (ผู้นำส่วนแบ่ง ~30%), Microsoft Azure (~20–25%), Google Cloud (~10–12%) — ส่วนแบ่งจากรายงานของ Synergy Research/Canalys (estimate)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Productivity &amp; Collaboration:</w:t>
      </w:r>
      <w:r>
        <w:t xml:space="preserve"> แข่งกับ Google Workspace, Zoom, Slack (Salesforce)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AI Models &amp; Apps:</w:t>
      </w:r>
      <w:r>
        <w:t xml:space="preserve"> แข่ง/ร่วมมือกับ Google (Gemini), Anthropic, AWS Bedrock, Meta Llama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Gaming:</w:t>
      </w:r>
      <w:r>
        <w:t xml:space="preserve"> Sony PlayStation, Nintendo, Tencent</w:t>
      </w:r>
    </w:p>
    <w:p/>
    <w:p>
      <w:pPr>
        <w:pStyle w:val="Heading3"/>
      </w:pPr>
      <w:r>
        <w:t xml:space="preserve">Regulatory &amp; Geopolitical</w:t>
      </w:r>
    </w:p>
    <w:p>
      <w:pPr>
        <w:pStyle w:val="ListBullet"/>
        <w:numPr>
          <w:ilvl w:val="0"/>
          <w:numId w:val="1"/>
        </w:numPr>
      </w:pPr>
      <w:r>
        <w:t xml:space="preserve">EU และ UK CMA เปิดสอบสวนการลงทุนใน OpenAI และพฤติกรรม bundling ของ Teams (Microsoft แยก Teams ออกจาก Office 365 ใน EU แล้ว)</w:t>
      </w:r>
    </w:p>
    <w:p>
      <w:pPr>
        <w:pStyle w:val="ListBullet"/>
        <w:numPr>
          <w:ilvl w:val="0"/>
          <w:numId w:val="1"/>
        </w:numPr>
      </w:pPr>
      <w:r>
        <w:t xml:space="preserve">FTC สหรัฐฯ และหน่วยงานต่างประเทศติดตามการเข้าซื้อ Activision Blizzard อย่างต่อเนื่อง</w:t>
      </w:r>
    </w:p>
    <w:p>
      <w:pPr>
        <w:pStyle w:val="ListBullet"/>
        <w:numPr>
          <w:ilvl w:val="0"/>
          <w:numId w:val="1"/>
        </w:numPr>
      </w:pPr>
      <w:r>
        <w:t xml:space="preserve">ข้อจำกัดการส่งออกชิป AI ไปยังจีน และความกังวลด้าน data sovereignty ในยุโรปเป็น headwinds ระดับกลาง</w:t>
      </w:r>
    </w:p>
    <w:p>
      <w:pPr>
        <w:pStyle w:val="ListBullet"/>
        <w:numPr>
          <w:ilvl w:val="0"/>
          <w:numId w:val="1"/>
        </w:numPr>
      </w:pPr>
      <w:r>
        <w:t xml:space="preserve">กฎ AI Act ของ EU และกฎหมาย AI ในหลายประเทศจะเพิ่มต้นทุน compliance</w:t>
      </w:r>
    </w:p>
    <w:p/>
    <w:p>
      <w:pPr>
        <w:pStyle w:val="Heading2"/>
      </w:pPr>
      <w:r>
        <w:t xml:space="preserve">4. Financial Overview (ภาพรวมการเงิน)</w:t>
      </w:r>
    </w:p>
    <w:p/>
    <w:p>
      <w:r>
        <w:rPr>
          <w:b/>
        </w:rPr>
        <w:t xml:space="preserve">Key takeaway:</w:t>
      </w:r>
      <w:r>
        <w:t xml:space="preserve"> Microsoft แสดงการเติบโตของรายได้และกำไรในระดับ high-teens อย่างต่อเนื่อง พร้อม operating margin ที่สูงเหนือ 40% และนโยบายคืนทุนผู้ถือหุ้นที่แข็งแกร่ง ขณะที่ capex AI พุ่งสูงเป็นประวัติการณ์</w:t>
      </w:r>
    </w:p>
    <w:p/>
    <w:p>
      <w:pPr>
        <w:pStyle w:val="Heading3"/>
      </w:pPr>
      <w:r>
        <w:t xml:space="preserve">Growth Track Record</w:t>
      </w:r>
    </w:p>
    <w:p>
      <w:pPr>
        <w:pStyle w:val="ListBullet"/>
        <w:numPr>
          <w:ilvl w:val="0"/>
          <w:numId w:val="1"/>
        </w:numPr>
      </w:pPr>
      <w:r>
        <w:t xml:space="preserve">รายได้ FY2023: $211.9B → FY2024: $245.1B (+16% YoY) → FY2025: ~$281.7B (+15% YoY ตามรายงานผลประกอบการ)</w:t>
      </w:r>
    </w:p>
    <w:p>
      <w:pPr>
        <w:pStyle w:val="ListBullet"/>
        <w:numPr>
          <w:ilvl w:val="0"/>
          <w:numId w:val="1"/>
        </w:numPr>
      </w:pPr>
      <w:r>
        <w:t xml:space="preserve">Q1 FY2026 รายได้ ~$77.7B (+18% YoY)</w:t>
      </w:r>
    </w:p>
    <w:p>
      <w:pPr>
        <w:pStyle w:val="ListBullet"/>
        <w:numPr>
          <w:ilvl w:val="0"/>
          <w:numId w:val="1"/>
        </w:numPr>
      </w:pPr>
      <w:r>
        <w:t xml:space="preserve">Azure &amp; other cloud services เติบโต ~30–40% YoY ติดต่อกันหลายไตรมาส</w:t>
      </w:r>
    </w:p>
    <w:p/>
    <w:p>
      <w:pPr>
        <w:pStyle w:val="Heading3"/>
      </w:pPr>
      <w:r>
        <w:t xml:space="preserve">Margin Trends</w:t>
      </w:r>
    </w:p>
    <w:p>
      <w:pPr>
        <w:pStyle w:val="ListBullet"/>
        <w:numPr>
          <w:ilvl w:val="0"/>
          <w:numId w:val="1"/>
        </w:numPr>
      </w:pPr>
      <w:r>
        <w:t xml:space="preserve">Gross margin บริษัทอยู่ในช่วง ~68–70%</w:t>
      </w:r>
    </w:p>
    <w:p>
      <w:pPr>
        <w:pStyle w:val="ListBullet"/>
        <w:numPr>
          <w:ilvl w:val="0"/>
          <w:numId w:val="1"/>
        </w:numPr>
      </w:pPr>
      <w:r>
        <w:t xml:space="preserve">Operating margin FY2025 ~44–45% (ลดเล็กน้อยจากแรงกดดัน depreciation จาก AI data center)</w:t>
      </w:r>
    </w:p>
    <w:p>
      <w:pPr>
        <w:pStyle w:val="ListBullet"/>
        <w:numPr>
          <w:ilvl w:val="0"/>
          <w:numId w:val="1"/>
        </w:numPr>
      </w:pPr>
      <w:r>
        <w:t xml:space="preserve">Net margin ~35–36%</w:t>
      </w:r>
    </w:p>
    <w:p>
      <w:pPr>
        <w:pStyle w:val="ListBullet"/>
        <w:numPr>
          <w:ilvl w:val="0"/>
          <w:numId w:val="1"/>
        </w:numPr>
      </w:pPr>
      <w:r>
        <w:t xml:space="preserve">ฝ่ายบริหารคาดว่า operating margin จะถูกกดดันต่อใน FY2026 จาก capex AI ที่เร่งขึ้น</w:t>
      </w:r>
    </w:p>
    <w:p/>
    <w:p>
      <w:pPr>
        <w:pStyle w:val="Heading3"/>
      </w:pPr>
      <w:r>
        <w:t xml:space="preserve">Capital Allocation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Capex:</w:t>
      </w:r>
      <w:r>
        <w:t xml:space="preserve"> FY2025 capex &gt;$80B (estimate ตามที่บริษัทเปิดเผยและสื่อรายงาน) เน้น AI data center, GPUs, networking — คาดเพิ่มขึ้นใน FY2026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Buybacks:</w:t>
      </w:r>
      <w:r>
        <w:t xml:space="preserve"> ประกาศ buyback program วงเงิน $60B ในเดือน ก.ย. 2024 (ไม่มีกำหนดสิ้นสุด)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Dividend:</w:t>
      </w:r>
      <w:r>
        <w:t xml:space="preserve"> ขึ้นเงินปันผลรายไตรมาสเป็น $0.83/share (ก.ย. 2024, +10% YoY) คิดเป็น dividend yield ~0.7% (estimate)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M&amp;A:</w:t>
      </w:r>
      <w:r>
        <w:t xml:space="preserve"> ดีล Activision Blizzard ($68.7B) ปิดในปี 2023 เป็นดีลใหญ่ที่สุดของบริษัท</w:t>
      </w:r>
    </w:p>
    <w:p>
      <w:pPr>
        <w:pStyle w:val="ListBullet"/>
        <w:numPr>
          <w:ilvl w:val="0"/>
          <w:numId w:val="1"/>
        </w:numPr>
      </w:pPr>
      <w:r>
        <w:t xml:space="preserve">งบดุลแข็งแกร่ง: cash &amp; short-term investments &gt;$75B (estimate); credit rating AAA</w:t>
      </w:r>
    </w:p>
    <w:p/>
    <w:p>
      <w:pPr>
        <w:pStyle w:val="Heading2"/>
      </w:pPr>
      <w:r>
        <w:t xml:space="preserve">Risks to Watch</w:t>
      </w:r>
    </w:p>
    <w:p/>
    <w:p>
      <w:pPr>
        <w:pStyle w:val="ListBullet"/>
        <w:numPr>
          <w:ilvl w:val="0"/>
          <w:numId w:val="1"/>
        </w:numPr>
      </w:pPr>
      <w:r>
        <w:rPr>
          <w:b/>
        </w:rPr>
        <w:t xml:space="preserve">AI capex risk:</w:t>
      </w:r>
      <w:r>
        <w:t xml:space="preserve"> การลงทุน data center หลายแสนล้านดอลลาร์อาจกดดัน ROIC หาก demand AI ชะลอตัวหรือ monetization ของ Copilot ต่ำกว่าคาด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Regulatory risk:</w:t>
      </w:r>
      <w:r>
        <w:t xml:space="preserve"> การสอบสวนของ EU/UK/FTC เกี่ยวกับ OpenAI partnership, Teams bundling และ cloud licensing อาจนำไปสู่ remedies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Competition:</w:t>
      </w:r>
      <w:r>
        <w:t xml:space="preserve"> AWS และ Google Cloud ยังคงแข่งดุ; โมเดล open-source (Llama, DeepSeek) อาจกัดเซาะ pricing power ของ AI APIs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GPU &amp; supply chain:</w:t>
      </w:r>
      <w:r>
        <w:t xml:space="preserve"> การพึ่ง NVIDIA สูง และข้อจำกัดส่งออกชิปกระทบทั้ง supply และ TAM ในจีน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Macro &amp; FX:</w:t>
      </w:r>
      <w:r>
        <w:t xml:space="preserve"> การชะลอตัวขององค์กรในการใช้จ่าย IT และผลกระทบจากค่าเงินดอลลาร์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OpenAI relationship:</w:t>
      </w:r>
      <w:r>
        <w:t xml:space="preserve"> การเปลี่ยนแปลงโครงสร้าง OpenAI (เช่น การปรับสู่ for-profit) อาจกระทบเงื่อนไขเชิงพาณิชย์</w:t>
      </w:r>
    </w:p>
    <w:p/>
    <w:p>
      <w:r>
        <w:rPr>
          <w:i/>
        </w:rPr>
        <w:t xml:space="preserve">ข้อมูลในรายงานฉบับนี้จัดทำเพื่อวัตถุประสงค์ในการให้ข้อมูลเท่านั้น ไม่ถือเป็นคำแนะนำในการลงทุน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ahoma" w:hAnsi="Tahoma" w:cs="Tahoma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00" w:after="140"/>
      <w:outlineLvl w:val="0"/>
    </w:pPr>
    <w:rPr>
      <w:b/>
      <w:color w:val="1A7A4C"/>
      <w:sz w:val="40"/>
    </w:rPr>
  </w:style>
  <w:style w:type="paragraph" w:styleId="Heading2">
    <w:name w:val="heading 2"/>
    <w:basedOn w:val="Normal"/>
    <w:pPr>
      <w:spacing w:before="240" w:after="100"/>
      <w:outlineLvl w:val="1"/>
      <w:pBdr>
        <w:bottom w:val="single" w:sz="6" w:space="2" w:color="1A7A4C"/>
      </w:pBdr>
    </w:pPr>
    <w:rPr>
      <w:b/>
      <w:color w:val="1A7A4C"/>
      <w:sz w:val="28"/>
    </w:rPr>
  </w:style>
  <w:style w:type="paragraph" w:styleId="Heading3">
    <w:name w:val="heading 3"/>
    <w:basedOn w:val="Normal"/>
    <w:pPr>
      <w:spacing w:before="160" w:after="80"/>
      <w:outlineLvl w:val="2"/>
    </w:pPr>
    <w:rPr>
      <w:b/>
      <w:sz w:val="24"/>
    </w:rPr>
  </w:style>
  <w:style w:type="paragraph" w:styleId="ListBullet">
    <w:name w:val="List Bullet"/>
    <w:basedOn w:val="Normal"/>
    <w:pPr>
      <w:spacing w:after="60"/>
    </w:pPr>
  </w:style>
  <w:style w:type="paragraph" w:styleId="Quote">
    <w:name w:val="Quote"/>
    <w:basedOn w:val="Normal"/>
    <w:rPr>
      <w:i/>
      <w:color w:val="5A5A5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