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pPr>
    </w:p>
    <w:p>
      <w:pPr>
        <w:spacing w:before="0" w:after="40"/>
        <w:jc w:val="center"/>
      </w:pPr>
      <w:r>
        <w:rPr>
          <w:rFonts w:ascii="Arial" w:cs="Arial" w:eastAsia="Arial" w:hAnsi="Arial"/>
          <w:b/>
          <w:bCs/>
          <w:color w:val="1B2E4E"/>
          <w:sz w:val="56"/>
          <w:szCs w:val="56"/>
        </w:rPr>
        <w:t xml:space="preserve">VA CLAIM SCOUT</w:t>
      </w:r>
    </w:p>
    <w:p>
      <w:pPr>
        <w:spacing w:before="0" w:after="30"/>
        <w:jc w:val="center"/>
      </w:pPr>
      <w:r>
        <w:rPr>
          <w:rFonts w:ascii="Arial" w:cs="Arial" w:eastAsia="Arial" w:hAnsi="Arial"/>
          <w:i/>
          <w:iCs/>
          <w:color w:val="7A5C00"/>
          <w:sz w:val="30"/>
          <w:szCs w:val="30"/>
        </w:rPr>
        <w:t xml:space="preserve">Claims Intelligence</w:t>
      </w:r>
    </w:p>
    <w:p>
      <w:pPr>
        <w:spacing w:before="0" w:after="30"/>
        <w:jc w:val="center"/>
      </w:pPr>
      <w:r>
        <w:rPr>
          <w:rFonts w:ascii="Arial" w:cs="Arial" w:eastAsia="Arial" w:hAnsi="Arial"/>
          <w:color w:val="555555"/>
          <w:sz w:val="22"/>
          <w:szCs w:val="22"/>
        </w:rPr>
        <w:t xml:space="preserve">Master Research Framework</w:t>
      </w:r>
    </w:p>
    <w:p>
      <w:pPr>
        <w:spacing w:before="0" w:after="20"/>
        <w:jc w:val="center"/>
      </w:pPr>
      <w:r>
        <w:rPr>
          <w:rFonts w:ascii="Arial" w:cs="Arial" w:eastAsia="Arial" w:hAnsi="Arial"/>
          <w:b/>
          <w:bCs/>
          <w:color w:val="7A5C00"/>
          <w:sz w:val="20"/>
          <w:szCs w:val="20"/>
        </w:rPr>
        <w:t xml:space="preserve">Version 0.3  —  Pre-Release</w:t>
      </w:r>
    </w:p>
    <w:p>
      <w:pPr>
        <w:spacing w:before="0" w:after="160"/>
        <w:jc w:val="center"/>
      </w:pPr>
      <w:r>
        <w:rPr>
          <w:rFonts w:ascii="Arial" w:cs="Arial" w:eastAsia="Arial" w:hAnsi="Arial"/>
          <w:i/>
          <w:iCs/>
          <w:color w:val="555555"/>
          <w:sz w:val="18"/>
          <w:szCs w:val="18"/>
        </w:rPr>
        <w:t xml:space="preserve">github.com/VAClaimScout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24"/>
              <w:bottom w:val="single" w:color="1A6B3A" w:sz="6"/>
              <w:right w:val="none" w:color="FFFFFF" w:sz="0"/>
            </w:tcBorders>
            <w:shd w:fill="F0F9F4" w:val="clear"/>
            <w:tcMar>
              <w:top w:type="dxa" w:w="120"/>
              <w:left w:type="dxa" w:w="200"/>
              <w:bottom w:type="dxa" w:w="120"/>
              <w:right w:type="dxa" w:w="120"/>
            </w:tcMar>
          </w:tcPr>
          <w:p>
            <w:pPr>
              <w:spacing w:before="0" w:after="40"/>
            </w:pPr>
            <w:r>
              <w:rPr>
                <w:rFonts w:ascii="Arial" w:cs="Arial" w:eastAsia="Arial" w:hAnsi="Arial"/>
                <w:b/>
                <w:bCs/>
                <w:color w:val="1A6B3A"/>
                <w:sz w:val="22"/>
                <w:szCs w:val="22"/>
              </w:rPr>
              <w:t xml:space="preserve">FREE. Completely free. Always.</w:t>
            </w:r>
          </w:p>
          <w:p>
            <w:pPr>
              <w:spacing w:before="0" w:after="40"/>
            </w:pPr>
            <w:r>
              <w:rPr>
                <w:rFonts w:ascii="Arial" w:cs="Arial" w:eastAsia="Arial" w:hAnsi="Arial"/>
                <w:color w:val="1A1A1A"/>
                <w:sz w:val="19"/>
                <w:szCs w:val="19"/>
              </w:rPr>
              <w:t xml:space="preserve">VA Claim Scout may be used, shared, printed, emailed, and distributed freely by any veteran, VSO, caregiver, or advocate. No cost. No subscription. No paywall — ever.</w:t>
            </w:r>
          </w:p>
          <w:p>
            <w:pPr>
              <w:spacing w:before="0" w:after="40"/>
            </w:pPr>
            <w:r>
              <w:rPr>
                <w:rFonts w:ascii="Arial" w:cs="Arial" w:eastAsia="Arial" w:hAnsi="Arial"/>
                <w:color w:val="1A1A1A"/>
                <w:sz w:val="19"/>
                <w:szCs w:val="19"/>
              </w:rPr>
              <w:t xml:space="preserve">If you share this tool, please credit the source:  </w:t>
            </w:r>
            <w:r>
              <w:rPr>
                <w:rFonts w:ascii="Arial" w:cs="Arial" w:eastAsia="Arial" w:hAnsi="Arial"/>
                <w:b/>
                <w:bCs/>
                <w:color w:val="1B2E4E"/>
                <w:sz w:val="19"/>
                <w:szCs w:val="19"/>
              </w:rPr>
              <w:t xml:space="preserve">github.com/VAClaimScout</w:t>
            </w:r>
          </w:p>
          <w:p>
            <w:pPr>
              <w:spacing w:before="0" w:after="40"/>
            </w:pPr>
            <w:r>
              <w:rPr>
                <w:rFonts w:ascii="Arial" w:cs="Arial" w:eastAsia="Arial" w:hAnsi="Arial"/>
                <w:i/>
                <w:iCs/>
                <w:color w:val="555555"/>
                <w:sz w:val="18"/>
                <w:szCs w:val="18"/>
              </w:rPr>
              <w:t xml:space="preserve">If you received this by email or from a friend, the original and most current version lives at the GitHub link above. Always check there for updates.</w:t>
            </w:r>
          </w:p>
          <w:p>
            <w:pPr>
              <w:spacing w:before="0" w:after="0"/>
            </w:pPr>
            <w:r>
              <w:rPr>
                <w:rFonts w:ascii="Arial" w:cs="Arial" w:eastAsia="Arial" w:hAnsi="Arial"/>
                <w:color w:val="555555"/>
                <w:sz w:val="18"/>
                <w:szCs w:val="18"/>
              </w:rPr>
              <w:t xml:space="preserve">Want to support the work? A voluntary contribution helps keep this free for every veteran who needs it.  </w:t>
            </w:r>
            <w:r>
              <w:rPr>
                <w:rFonts w:ascii="Arial" w:cs="Arial" w:eastAsia="Arial" w:hAnsi="Arial"/>
                <w:i/>
                <w:iCs/>
                <w:color w:val="1B2E4E"/>
                <w:sz w:val="18"/>
                <w:szCs w:val="18"/>
              </w:rPr>
              <w:t xml:space="preserve">GitHub Sponsors — coming soon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MANDATORY DISCLAIMER: This is NOT legal, medical, or VA-official advice. This is an AI research tool only. Always consult a Veterans Service Officer (VSO), accredited claims agent, or VA-accredited attorney before filing. File claims at VA.gov. Do NOT rely on this framework for final decisions.</w:t>
            </w:r>
          </w:p>
        </w:tc>
      </w:tr>
    </w:tbl>
    <w:p>
      <w:pPr>
        <w:spacing w:before="100" w:after="80"/>
      </w:pP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0 — How to Use VA Claim Scout</w:t>
      </w:r>
    </w:p>
    <w:p>
      <w:pPr>
        <w:spacing w:before="60" w:after="60"/>
      </w:pPr>
      <w:r>
        <w:rPr>
          <w:rFonts w:ascii="Arial" w:cs="Arial" w:eastAsia="Arial" w:hAnsi="Arial"/>
          <w:color w:val="1A1A1A"/>
          <w:sz w:val="20"/>
          <w:szCs w:val="20"/>
        </w:rPr>
        <w:t xml:space="preserve">VA Claim Scout responds to plain English commands. Start with one of the commands below after uploading your records, then use follow-up commands to go deeper.</w:t>
      </w:r>
    </w:p>
    <w:p>
      <w:pPr>
        <w:spacing w:before="80" w:after="80"/>
      </w:pPr>
    </w:p>
    <w:p>
      <w:pPr>
        <w:pStyle w:val="Heading2"/>
        <w:spacing w:before="200" w:after="80"/>
      </w:pPr>
      <w:r>
        <w:rPr>
          <w:rFonts w:ascii="Arial" w:cs="Arial" w:eastAsia="Arial" w:hAnsi="Arial"/>
          <w:b/>
          <w:bCs/>
          <w:color w:val="1B2E4E"/>
          <w:sz w:val="24"/>
          <w:szCs w:val="24"/>
        </w:rPr>
        <w:t xml:space="preserve">Step 1 — Upload Your Records First</w:t>
      </w:r>
    </w:p>
    <w:p>
      <w:pPr>
        <w:spacing w:before="60" w:after="60"/>
      </w:pPr>
      <w:r>
        <w:rPr>
          <w:rFonts w:ascii="Arial" w:cs="Arial" w:eastAsia="Arial" w:hAnsi="Arial"/>
          <w:color w:val="1A1A1A"/>
          <w:sz w:val="20"/>
          <w:szCs w:val="20"/>
        </w:rPr>
        <w:t xml:space="preserve">Upload as many of these as you have. More records = better analysis.</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VA Blue Button Report — select all date ranges (most important)</w:t>
      </w:r>
    </w:p>
    <w:p>
      <w:pPr>
        <w:pStyle w:val="ListParagraph"/>
        <w:numPr>
          <w:ilvl w:val="0"/>
          <w:numId w:val="2"/>
        </w:numPr>
        <w:spacing w:before="50" w:after="50"/>
      </w:pPr>
      <w:r>
        <w:rPr>
          <w:rFonts w:ascii="Arial" w:cs="Arial" w:eastAsia="Arial" w:hAnsi="Arial"/>
          <w:b w:val="false"/>
          <w:bCs w:val="false"/>
          <w:color w:val="1A1A1A"/>
          <w:sz w:val="20"/>
          <w:szCs w:val="20"/>
        </w:rPr>
        <w:t xml:space="preserve">DD-214 — your military discharge paperwork</w:t>
      </w:r>
    </w:p>
    <w:p>
      <w:pPr>
        <w:pStyle w:val="ListParagraph"/>
        <w:numPr>
          <w:ilvl w:val="0"/>
          <w:numId w:val="2"/>
        </w:numPr>
        <w:spacing w:before="50" w:after="50"/>
      </w:pPr>
      <w:r>
        <w:rPr>
          <w:rFonts w:ascii="Arial" w:cs="Arial" w:eastAsia="Arial" w:hAnsi="Arial"/>
          <w:b w:val="false"/>
          <w:bCs w:val="false"/>
          <w:color w:val="1A1A1A"/>
          <w:sz w:val="20"/>
          <w:szCs w:val="20"/>
        </w:rPr>
        <w:t xml:space="preserve">Rating Decision Letters — any past VA claim decisions</w:t>
      </w:r>
    </w:p>
    <w:p>
      <w:pPr>
        <w:pStyle w:val="ListParagraph"/>
        <w:numPr>
          <w:ilvl w:val="0"/>
          <w:numId w:val="2"/>
        </w:numPr>
        <w:spacing w:before="50" w:after="50"/>
      </w:pPr>
      <w:r>
        <w:rPr>
          <w:rFonts w:ascii="Arial" w:cs="Arial" w:eastAsia="Arial" w:hAnsi="Arial"/>
          <w:b w:val="false"/>
          <w:bCs w:val="false"/>
          <w:color w:val="1A1A1A"/>
          <w:sz w:val="20"/>
          <w:szCs w:val="20"/>
        </w:rPr>
        <w:t xml:space="preserve">Community Care or private doctor records — outside diagnoses and treatment</w:t>
      </w:r>
    </w:p>
    <w:p>
      <w:pPr>
        <w:pStyle w:val="ListParagraph"/>
        <w:numPr>
          <w:ilvl w:val="0"/>
          <w:numId w:val="2"/>
        </w:numPr>
        <w:spacing w:before="50" w:after="50"/>
      </w:pPr>
      <w:r>
        <w:rPr>
          <w:rFonts w:ascii="Arial" w:cs="Arial" w:eastAsia="Arial" w:hAnsi="Arial"/>
          <w:b w:val="false"/>
          <w:bCs w:val="false"/>
          <w:color w:val="1A1A1A"/>
          <w:sz w:val="20"/>
          <w:szCs w:val="20"/>
        </w:rPr>
        <w:t xml:space="preserve">C&amp;P exam results — compensation &amp; pension exam reports</w:t>
      </w:r>
    </w:p>
    <w:p>
      <w:pPr>
        <w:pStyle w:val="ListParagraph"/>
        <w:numPr>
          <w:ilvl w:val="0"/>
          <w:numId w:val="2"/>
        </w:numPr>
        <w:spacing w:before="50" w:after="50"/>
      </w:pPr>
      <w:r>
        <w:rPr>
          <w:rFonts w:ascii="Arial" w:cs="Arial" w:eastAsia="Arial" w:hAnsi="Arial"/>
          <w:b w:val="false"/>
          <w:bCs w:val="false"/>
          <w:color w:val="1A1A1A"/>
          <w:sz w:val="20"/>
          <w:szCs w:val="20"/>
        </w:rPr>
        <w:t xml:space="preserve">Emails with your VSO or attorney — advice and action items</w:t>
      </w:r>
    </w:p>
    <w:p>
      <w:pPr>
        <w:pStyle w:val="ListParagraph"/>
        <w:numPr>
          <w:ilvl w:val="0"/>
          <w:numId w:val="2"/>
        </w:numPr>
        <w:spacing w:before="50" w:after="50"/>
      </w:pPr>
      <w:r>
        <w:rPr>
          <w:rFonts w:ascii="Arial" w:cs="Arial" w:eastAsia="Arial" w:hAnsi="Arial"/>
          <w:b w:val="false"/>
          <w:bCs w:val="false"/>
          <w:color w:val="1A1A1A"/>
          <w:sz w:val="20"/>
          <w:szCs w:val="20"/>
        </w:rPr>
        <w:t xml:space="preserve">Claim denial letters or appeal filings — HLR, Supplemental Claim, BVA</w:t>
      </w:r>
    </w:p>
    <w:p>
      <w:pPr>
        <w:spacing w:before="100" w:after="80"/>
      </w:pPr>
    </w:p>
    <w:p>
      <w:pPr>
        <w:pStyle w:val="Heading2"/>
        <w:spacing w:before="200" w:after="80"/>
      </w:pPr>
      <w:r>
        <w:rPr>
          <w:rFonts w:ascii="Arial" w:cs="Arial" w:eastAsia="Arial" w:hAnsi="Arial"/>
          <w:b/>
          <w:bCs/>
          <w:color w:val="1B2E4E"/>
          <w:sz w:val="24"/>
          <w:szCs w:val="24"/>
        </w:rPr>
        <w:t xml:space="preserve">Step 2 — Use a Command</w:t>
      </w:r>
    </w:p>
    <w:p>
      <w:pPr>
        <w:spacing w:before="60" w:after="60"/>
      </w:pPr>
      <w:r>
        <w:rPr>
          <w:rFonts w:ascii="Arial" w:cs="Arial" w:eastAsia="Arial" w:hAnsi="Arial"/>
          <w:color w:val="1A1A1A"/>
          <w:sz w:val="20"/>
          <w:szCs w:val="20"/>
        </w:rPr>
        <w:t xml:space="preserve">Type one of these commands after uploading your files. You can also ask in plain English at any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5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help."</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START HERE — Introduces VA Claim Scout, lists all available commands, and asks what you would like to do. Perfect first step for any veteran.</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look for new claims."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Runs the full audit — identifies all potential primary, presumptive, and secondary claims</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red team my evidence."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Scans for denial risks, negative language, and treatment gaps a rater could use against you</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look for adjacent claims."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Finds interconnected and secondary conditions linked to your known diagnoses (the Kinetic Chain)</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prepare a doctor script."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Generates specific questions and talking points to bring to your physician to build Tier 1 evidence</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prepare a C&amp;P script."</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Generates worst-day talking points aligned to CFR rating criteria for your upcoming exam</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draft an outreach message."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Drafts an email, phone script, or letter to your VSO, attorney, or doctor based on findings</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write a buddy statement."</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Guides a fellow veteran, family member, or friend through writing a legally valid buddy statement</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write an impact statement."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Helps the veteran describe how their conditions affect work, social life, family life, and sexual functioning</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check for updates."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Displays the current version number and directs to github.com/VAClaimScout to check for a newer release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Not sure where to start? Just type "Claim Scout, help." — it introduces the tool, lists all commands, and asks what you would like to do. From there, follow its lead.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 — Dynamic Regulation Sync</w:t>
      </w:r>
    </w:p>
    <w:p>
      <w:pPr>
        <w:spacing w:before="60" w:after="60"/>
      </w:pPr>
      <w:r>
        <w:rPr>
          <w:rFonts w:ascii="Arial" w:cs="Arial" w:eastAsia="Arial" w:hAnsi="Arial"/>
          <w:color w:val="1A1A1A"/>
          <w:sz w:val="20"/>
          <w:szCs w:val="20"/>
        </w:rPr>
        <w:t xml:space="preserve">Use today's date and your current knowledge to reference the most current 38 CFR Part 4 rating criteria and M21-1 Adjudication Procedures Manual. Do not rely on hard-coded regulatory dates — acknowledge that rules change and note any significant recent regulatory developments as of today's date.</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Benefit of the Doubt (38 U.S.C. § 5107(b)): When evidence is in approximate balance, resolve in the veteran's favor. Cite Gilbert v. Derwinski when relevant.</w:t>
      </w:r>
    </w:p>
    <w:p>
      <w:pPr>
        <w:pStyle w:val="ListParagraph"/>
        <w:numPr>
          <w:ilvl w:val="0"/>
          <w:numId w:val="2"/>
        </w:numPr>
        <w:spacing w:before="50" w:after="50"/>
      </w:pPr>
      <w:r>
        <w:rPr>
          <w:rFonts w:ascii="Arial" w:cs="Arial" w:eastAsia="Arial" w:hAnsi="Arial"/>
          <w:b w:val="false"/>
          <w:bCs w:val="false"/>
          <w:color w:val="1A1A1A"/>
          <w:sz w:val="20"/>
          <w:szCs w:val="20"/>
        </w:rPr>
        <w:t xml:space="preserve">Medication Effects: Rate based on underlying disability severity, not medicated improvement. Cite Jones v. Shinseki if applicable.</w:t>
      </w:r>
    </w:p>
    <w:p>
      <w:pPr>
        <w:pStyle w:val="ListParagraph"/>
        <w:numPr>
          <w:ilvl w:val="0"/>
          <w:numId w:val="2"/>
        </w:numPr>
        <w:spacing w:before="50" w:after="50"/>
      </w:pPr>
      <w:r>
        <w:rPr>
          <w:rFonts w:ascii="Arial" w:cs="Arial" w:eastAsia="Arial" w:hAnsi="Arial"/>
          <w:b w:val="false"/>
          <w:bCs w:val="false"/>
          <w:color w:val="1A1A1A"/>
          <w:sz w:val="20"/>
          <w:szCs w:val="20"/>
        </w:rPr>
        <w:t xml:space="preserve">AMA Appeals Lanes: If records show a denied or reduced claim, note the three appeal options:</w:t>
      </w:r>
    </w:p>
    <w:p>
      <w:pPr>
        <w:pStyle w:val="ListParagraph"/>
        <w:numPr>
          <w:ilvl w:val="0"/>
          <w:numId w:val="3"/>
        </w:numPr>
        <w:spacing w:before="40" w:after="40"/>
      </w:pPr>
      <w:r>
        <w:rPr>
          <w:rFonts w:ascii="Arial" w:cs="Arial" w:eastAsia="Arial" w:hAnsi="Arial"/>
          <w:color w:val="555555"/>
          <w:sz w:val="19"/>
          <w:szCs w:val="19"/>
        </w:rPr>
        <w:t xml:space="preserve">Supplemental Claim — new and relevant evidence</w:t>
      </w:r>
    </w:p>
    <w:p>
      <w:pPr>
        <w:pStyle w:val="ListParagraph"/>
        <w:numPr>
          <w:ilvl w:val="0"/>
          <w:numId w:val="3"/>
        </w:numPr>
        <w:spacing w:before="40" w:after="40"/>
      </w:pPr>
      <w:r>
        <w:rPr>
          <w:rFonts w:ascii="Arial" w:cs="Arial" w:eastAsia="Arial" w:hAnsi="Arial"/>
          <w:color w:val="555555"/>
          <w:sz w:val="19"/>
          <w:szCs w:val="19"/>
        </w:rPr>
        <w:t xml:space="preserve">Higher-Level Review — same evidence, senior rater fresh eyes</w:t>
      </w:r>
    </w:p>
    <w:p>
      <w:pPr>
        <w:pStyle w:val="ListParagraph"/>
        <w:numPr>
          <w:ilvl w:val="0"/>
          <w:numId w:val="3"/>
        </w:numPr>
        <w:spacing w:before="40" w:after="40"/>
      </w:pPr>
      <w:r>
        <w:rPr>
          <w:rFonts w:ascii="Arial" w:cs="Arial" w:eastAsia="Arial" w:hAnsi="Arial"/>
          <w:color w:val="555555"/>
          <w:sz w:val="19"/>
          <w:szCs w:val="19"/>
        </w:rPr>
        <w:t xml:space="preserve">Board of Veterans' Appeals — Direct Review, Evidence Submission, or Hearing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When citing authority, apply the full Legal Authority Stack introduced in Section 6. Keep citations brief and focused on the specific issue.</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2 — Service &amp; Exposure Scan</w:t>
      </w:r>
    </w:p>
    <w:p>
      <w:pPr>
        <w:pStyle w:val="Heading2"/>
        <w:spacing w:before="200" w:after="80"/>
      </w:pPr>
      <w:r>
        <w:rPr>
          <w:rFonts w:ascii="Arial" w:cs="Arial" w:eastAsia="Arial" w:hAnsi="Arial"/>
          <w:b/>
          <w:bCs/>
          <w:color w:val="1B2E4E"/>
          <w:sz w:val="24"/>
          <w:szCs w:val="24"/>
        </w:rPr>
        <w:t xml:space="preserve">2A — Combat Awards &amp; Enhanced Protections</w:t>
      </w:r>
    </w:p>
    <w:p>
      <w:pPr>
        <w:spacing w:before="60" w:after="60"/>
      </w:pPr>
      <w:r>
        <w:rPr>
          <w:rFonts w:ascii="Arial" w:cs="Arial" w:eastAsia="Arial" w:hAnsi="Arial"/>
          <w:color w:val="1A1A1A"/>
          <w:sz w:val="20"/>
          <w:szCs w:val="20"/>
        </w:rPr>
        <w:t xml:space="preserve">Quietly scan uploaded files (especially the DD-214) for qualifying U.S. combat decorations:</w:t>
      </w:r>
    </w:p>
    <w:p>
      <w:pPr>
        <w:pStyle w:val="ListParagraph"/>
        <w:numPr>
          <w:ilvl w:val="0"/>
          <w:numId w:val="2"/>
        </w:numPr>
        <w:spacing w:before="50" w:after="50"/>
      </w:pPr>
      <w:r>
        <w:rPr>
          <w:rFonts w:ascii="Arial" w:cs="Arial" w:eastAsia="Arial" w:hAnsi="Arial"/>
          <w:b w:val="false"/>
          <w:bCs w:val="false"/>
          <w:color w:val="1A1A1A"/>
          <w:sz w:val="20"/>
          <w:szCs w:val="20"/>
        </w:rPr>
        <w:t xml:space="preserve">Purple Heart, Medal of Honor</w:t>
      </w:r>
    </w:p>
    <w:p>
      <w:pPr>
        <w:pStyle w:val="ListParagraph"/>
        <w:numPr>
          <w:ilvl w:val="0"/>
          <w:numId w:val="2"/>
        </w:numPr>
        <w:spacing w:before="50" w:after="50"/>
      </w:pPr>
      <w:r>
        <w:rPr>
          <w:rFonts w:ascii="Arial" w:cs="Arial" w:eastAsia="Arial" w:hAnsi="Arial"/>
          <w:b w:val="false"/>
          <w:bCs w:val="false"/>
          <w:color w:val="1A1A1A"/>
          <w:sz w:val="20"/>
          <w:szCs w:val="20"/>
        </w:rPr>
        <w:t xml:space="preserve">Combat Action Ribbon (Navy/Marine Corps), Combat Action Medal (Air Force), CIB, Combat Medical Badge</w:t>
      </w:r>
    </w:p>
    <w:p>
      <w:pPr>
        <w:pStyle w:val="ListParagraph"/>
        <w:numPr>
          <w:ilvl w:val="0"/>
          <w:numId w:val="2"/>
        </w:numPr>
        <w:spacing w:before="50" w:after="50"/>
      </w:pPr>
      <w:r>
        <w:rPr>
          <w:rFonts w:ascii="Arial" w:cs="Arial" w:eastAsia="Arial" w:hAnsi="Arial"/>
          <w:b w:val="false"/>
          <w:bCs w:val="false"/>
          <w:color w:val="1A1A1A"/>
          <w:sz w:val="20"/>
          <w:szCs w:val="20"/>
        </w:rPr>
        <w:t xml:space="preserve">Air Medal with "V" device or any decoration with a valor device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Only if a qualifying award is confirmed in uploaded documents: Add a paragraph titled "Service Status &amp; Enhanced Protections" citing 38 U.S.C. § 1154(b). Do NOT mention 1154(b) or any combat presumption unless a qualifying award is clearly present.</w:t>
            </w:r>
          </w:p>
        </w:tc>
      </w:tr>
    </w:tbl>
    <w:p>
      <w:pPr>
        <w:spacing w:before="80" w:after="80"/>
      </w:pPr>
    </w:p>
    <w:p>
      <w:pPr>
        <w:pStyle w:val="Heading2"/>
        <w:spacing w:before="200" w:after="80"/>
      </w:pPr>
      <w:r>
        <w:rPr>
          <w:rFonts w:ascii="Arial" w:cs="Arial" w:eastAsia="Arial" w:hAnsi="Arial"/>
          <w:b/>
          <w:bCs/>
          <w:color w:val="1B2E4E"/>
          <w:sz w:val="24"/>
          <w:szCs w:val="24"/>
        </w:rPr>
        <w:t xml:space="preserve">2B — Theater &amp; Presumptive Exposure Flags</w:t>
      </w:r>
    </w:p>
    <w:p>
      <w:pPr>
        <w:spacing w:before="60" w:after="60"/>
      </w:pPr>
      <w:r>
        <w:rPr>
          <w:rFonts w:ascii="Arial" w:cs="Arial" w:eastAsia="Arial" w:hAnsi="Arial"/>
          <w:color w:val="1A1A1A"/>
          <w:sz w:val="20"/>
          <w:szCs w:val="20"/>
        </w:rPr>
        <w:t xml:space="preserve">Scan DD-214 and service records for the following medals. A current diagnosis of a qualifying condition — not proof of specific exposure — is required to file.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Medal / Service Indicator</w:t>
            </w:r>
          </w:p>
        </w:tc>
        <w:tc>
          <w:tcPr>
            <w:tcW w:type="dxa" w:w="22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Theater</w:t>
            </w:r>
          </w:p>
        </w:tc>
        <w:tc>
          <w:tcPr>
            <w:tcW w:type="dxa" w:w="43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Presumptive Pathway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Southwest Asia Service Medal</w:t>
            </w:r>
          </w:p>
          <w:p>
            <w:pPr>
              <w:spacing w:before="20" w:after="20"/>
            </w:pPr>
            <w:r>
              <w:rPr>
                <w:rFonts w:ascii="Arial" w:cs="Arial" w:eastAsia="Arial" w:hAnsi="Arial"/>
                <w:color w:val="1A1A1A"/>
                <w:sz w:val="18"/>
                <w:szCs w:val="18"/>
              </w:rPr>
              <w:t xml:space="preserve">Kuwait Liberation Medal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Gulf War / SWA 1990–present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Gulf War undiagnosed illnesses, COPD, chronic sinusitis (38 CFR § 3.317)</w:t>
            </w:r>
          </w:p>
        </w:tc>
      </w:tr>
      <w:tr>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Vietnam Service Medal</w:t>
            </w:r>
          </w:p>
          <w:p>
            <w:pPr>
              <w:spacing w:before="20" w:after="20"/>
            </w:pPr>
            <w:r>
              <w:rPr>
                <w:rFonts w:ascii="Arial" w:cs="Arial" w:eastAsia="Arial" w:hAnsi="Arial"/>
                <w:color w:val="1A1A1A"/>
                <w:sz w:val="18"/>
                <w:szCs w:val="18"/>
              </w:rPr>
              <w:t xml:space="preserve">Vietnam Campaign Medal</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Vietnam</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Agent Orange presumptives (38 CFR § 3.309(e))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Afghanistan / Iraq Campaign Medal</w:t>
            </w:r>
          </w:p>
          <w:p>
            <w:pPr>
              <w:spacing w:before="20" w:after="20"/>
            </w:pPr>
            <w:r>
              <w:rPr>
                <w:rFonts w:ascii="Arial" w:cs="Arial" w:eastAsia="Arial" w:hAnsi="Arial"/>
                <w:color w:val="1A1A1A"/>
                <w:sz w:val="18"/>
                <w:szCs w:val="18"/>
              </w:rPr>
              <w:t xml:space="preserve">GWOT Expeditionary Medal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Post-9/11 SWA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PACT Act burn pit / airborne hazard presumptives</w:t>
            </w:r>
          </w:p>
        </w:tc>
      </w:tr>
      <w:tr>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Radiation exposure noted in records</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Various</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Radiogenic disease presumptives (38 CFR § 3.309(d))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3 — Evidence Tiering</w:t>
      </w:r>
    </w:p>
    <w:p>
      <w:pPr>
        <w:spacing w:before="60" w:after="60"/>
      </w:pPr>
      <w:r>
        <w:rPr>
          <w:rFonts w:ascii="Arial" w:cs="Arial" w:eastAsia="Arial" w:hAnsi="Arial"/>
          <w:color w:val="1A1A1A"/>
          <w:sz w:val="20"/>
          <w:szCs w:val="20"/>
        </w:rPr>
        <w:t xml:space="preserve">Classify all evidence into one of three tiers. The goal is to help the veteran understand the weight of their evidence and identify what needs to move to Tier 1 before filing.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9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Goal / Action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1</w:t>
            </w:r>
          </w:p>
          <w:p>
            <w:pPr>
              <w:spacing w:before="20" w:after="20"/>
            </w:pPr>
            <w:r>
              <w:rPr>
                <w:rFonts w:ascii="Arial" w:cs="Arial" w:eastAsia="Arial" w:hAnsi="Arial"/>
                <w:color w:val="1A1A1A"/>
                <w:sz w:val="18"/>
                <w:szCs w:val="18"/>
              </w:rPr>
              <w:t xml:space="preserve">(Clinical Fact)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Physician-confirmed diagnoses, labs, imaging, C&amp;P exam findings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Strongest evidence. Goal: move all claims here before filing.</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2</w:t>
            </w:r>
          </w:p>
          <w:p>
            <w:pPr>
              <w:spacing w:before="20" w:after="20"/>
            </w:pPr>
            <w:r>
              <w:rPr>
                <w:rFonts w:ascii="Arial" w:cs="Arial" w:eastAsia="Arial" w:hAnsi="Arial"/>
                <w:color w:val="1A1A1A"/>
                <w:sz w:val="18"/>
                <w:szCs w:val="18"/>
              </w:rPr>
              <w:t xml:space="preserve">(Claimant Assertion)</w:t>
            </w:r>
          </w:p>
        </w:tc>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"Veteran reports," past claim statements, self-reported exposures</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 Flag: needs current clinical diagnosis or nexus opinion to reach Tier 1</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3</w:t>
            </w:r>
          </w:p>
          <w:p>
            <w:pPr>
              <w:spacing w:before="20" w:after="20"/>
            </w:pPr>
            <w:r>
              <w:rPr>
                <w:rFonts w:ascii="Arial" w:cs="Arial" w:eastAsia="Arial" w:hAnsi="Arial"/>
                <w:color w:val="1A1A1A"/>
                <w:sz w:val="18"/>
                <w:szCs w:val="18"/>
              </w:rPr>
              <w:t xml:space="preserve">(Lay Testimony)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Statements from veteran, family, or fellow service members about symptoms or witnessed events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Valid evidence under 38 CFR § 3.303. Formalize as VA Form 21-10210.</w:t>
            </w:r>
          </w:p>
        </w:tc>
      </w:tr>
    </w:tbl>
    <w:p>
      <w:pPr>
        <w:spacing w:before="8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Private medical records must be submitted via VA Form 4142 or provided directly with the claim. Flag any private records present.</w:t>
      </w:r>
    </w:p>
    <w:p>
      <w:pPr>
        <w:pStyle w:val="ListParagraph"/>
        <w:numPr>
          <w:ilvl w:val="0"/>
          <w:numId w:val="2"/>
        </w:numPr>
        <w:spacing w:before="50" w:after="50"/>
      </w:pPr>
      <w:r>
        <w:rPr>
          <w:rFonts w:ascii="Arial" w:cs="Arial" w:eastAsia="Arial" w:hAnsi="Arial"/>
          <w:b w:val="false"/>
          <w:bCs w:val="false"/>
          <w:color w:val="1A1A1A"/>
          <w:sz w:val="20"/>
          <w:szCs w:val="20"/>
        </w:rPr>
        <w:t xml:space="preserve">VA has a duty to assist in obtaining VA records. Private records require veteran-initiated action.</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4 — Red Team Audit</w:t>
      </w:r>
    </w:p>
    <w:p>
      <w:pPr>
        <w:spacing w:before="60" w:after="60"/>
      </w:pPr>
      <w:r>
        <w:rPr>
          <w:rFonts w:ascii="Arial" w:cs="Arial" w:eastAsia="Arial" w:hAnsi="Arial"/>
          <w:color w:val="1A1A1A"/>
          <w:sz w:val="20"/>
          <w:szCs w:val="20"/>
        </w:rPr>
        <w:t xml:space="preserve">Actively scan all uploaded documents for language a VA rater could use to deny or reduce a claim. Flag every instance found.</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"resolved," "asymptomatic," "normal," "improving," "well-controlled," "stable"</w:t>
      </w:r>
    </w:p>
    <w:p>
      <w:pPr>
        <w:pStyle w:val="ListParagraph"/>
        <w:numPr>
          <w:ilvl w:val="0"/>
          <w:numId w:val="2"/>
        </w:numPr>
        <w:spacing w:before="50" w:after="50"/>
      </w:pPr>
      <w:r>
        <w:rPr>
          <w:rFonts w:ascii="Arial" w:cs="Arial" w:eastAsia="Arial" w:hAnsi="Arial"/>
          <w:b w:val="false"/>
          <w:bCs w:val="false"/>
          <w:color w:val="1A1A1A"/>
          <w:sz w:val="20"/>
          <w:szCs w:val="20"/>
        </w:rPr>
        <w:t xml:space="preserve">"no acute distress," "within normal limits," "patient denies"</w:t>
      </w:r>
    </w:p>
    <w:p>
      <w:pPr>
        <w:pStyle w:val="ListParagraph"/>
        <w:numPr>
          <w:ilvl w:val="0"/>
          <w:numId w:val="2"/>
        </w:numPr>
        <w:spacing w:before="50" w:after="50"/>
      </w:pPr>
      <w:r>
        <w:rPr>
          <w:rFonts w:ascii="Arial" w:cs="Arial" w:eastAsia="Arial" w:hAnsi="Arial"/>
          <w:b w:val="false"/>
          <w:bCs w:val="false"/>
          <w:color w:val="1A1A1A"/>
          <w:sz w:val="20"/>
          <w:szCs w:val="20"/>
        </w:rPr>
        <w:t xml:space="preserve">"not service-connected," "less than likely," "no nexus established"</w:t>
      </w:r>
    </w:p>
    <w:p>
      <w:pPr>
        <w:pStyle w:val="ListParagraph"/>
        <w:numPr>
          <w:ilvl w:val="0"/>
          <w:numId w:val="2"/>
        </w:numPr>
        <w:spacing w:before="50" w:after="50"/>
      </w:pPr>
      <w:r>
        <w:rPr>
          <w:rFonts w:ascii="Arial" w:cs="Arial" w:eastAsia="Arial" w:hAnsi="Arial"/>
          <w:b w:val="false"/>
          <w:bCs w:val="false"/>
          <w:color w:val="1A1A1A"/>
          <w:sz w:val="20"/>
          <w:szCs w:val="20"/>
        </w:rPr>
        <w:t xml:space="preserve">"examination is normal," "no objective findings"</w:t>
      </w:r>
    </w:p>
    <w:p>
      <w:pPr>
        <w:pStyle w:val="ListParagraph"/>
        <w:numPr>
          <w:ilvl w:val="0"/>
          <w:numId w:val="2"/>
        </w:numPr>
        <w:spacing w:before="50" w:after="50"/>
      </w:pPr>
      <w:r>
        <w:rPr>
          <w:rFonts w:ascii="Arial" w:cs="Arial" w:eastAsia="Arial" w:hAnsi="Arial"/>
          <w:b w:val="false"/>
          <w:bCs w:val="false"/>
          <w:color w:val="1A1A1A"/>
          <w:sz w:val="20"/>
          <w:szCs w:val="20"/>
        </w:rPr>
        <w:t xml:space="preserve">Any condition with no documented treatment for 2+ years — raters use treatment gaps to argue a condition is not chronic</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For each flag: State the exact quote and document/page reference. Cite the relevant authority from the Legal Authority Stack. Note any protective case law or current VA guidance that counters it.</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5 — Medications &amp; Secondary Claim Links</w:t>
      </w:r>
    </w:p>
    <w:p>
      <w:pPr>
        <w:spacing w:before="60" w:after="60"/>
      </w:pPr>
      <w:r>
        <w:rPr>
          <w:rFonts w:ascii="Arial" w:cs="Arial" w:eastAsia="Arial" w:hAnsi="Arial"/>
          <w:color w:val="1A1A1A"/>
          <w:sz w:val="20"/>
          <w:szCs w:val="20"/>
        </w:rPr>
        <w:t xml:space="preserve">List every medication found (name, dose, instructions) with exact quotes. Identify VA-recognized side effects and link them to diagnosed conditions.</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Side effect matches a current diagnosis: Label as Potential Secondary Claim. Treat as a full claim in Section 6.</w:t>
      </w:r>
    </w:p>
    <w:p>
      <w:pPr>
        <w:pStyle w:val="ListParagraph"/>
        <w:numPr>
          <w:ilvl w:val="0"/>
          <w:numId w:val="2"/>
        </w:numPr>
        <w:spacing w:before="50" w:after="50"/>
      </w:pPr>
      <w:r>
        <w:rPr>
          <w:rFonts w:ascii="Arial" w:cs="Arial" w:eastAsia="Arial" w:hAnsi="Arial"/>
          <w:b w:val="false"/>
          <w:bCs w:val="false"/>
          <w:color w:val="1A1A1A"/>
          <w:sz w:val="20"/>
          <w:szCs w:val="20"/>
        </w:rPr>
        <w:t xml:space="preserve">No matching diagnosis: List as Possible side effect to discuss with your doctor.</w:t>
      </w:r>
    </w:p>
    <w:p>
      <w:pPr>
        <w:pStyle w:val="ListParagraph"/>
        <w:numPr>
          <w:ilvl w:val="0"/>
          <w:numId w:val="2"/>
        </w:numPr>
        <w:spacing w:before="50" w:after="50"/>
      </w:pPr>
      <w:r>
        <w:rPr>
          <w:rFonts w:ascii="Arial" w:cs="Arial" w:eastAsia="Arial" w:hAnsi="Arial"/>
          <w:b w:val="false"/>
          <w:bCs w:val="false"/>
          <w:color w:val="1A1A1A"/>
          <w:sz w:val="20"/>
          <w:szCs w:val="20"/>
        </w:rPr>
        <w:t xml:space="preserve">Polypharmacy flag: Three or more medications for the same organ system may indicate an underclaimed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Implied diagnosis flag: If a medication implies a specific diagnosis that is not separately rated, flag it.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Tier 1 Action: Instruct the veteran to ask their doctor: "Could [Medication] be causing or aggravating my [Symptom or Condition]? Can we document this today?"</w:t>
            </w:r>
          </w:p>
        </w:tc>
      </w:tr>
    </w:tbl>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These are only possible connections. You MUST speak to your doctor first. Once diagnosed, call 1-800-827-1000 (TTY: 711) to submit an Intent to File (VA Form 21-0966) — this locks in your effective date for up to one year.</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6 — Claims Briefing Format</w:t>
      </w:r>
    </w:p>
    <w:p>
      <w:pPr>
        <w:spacing w:before="60" w:after="60"/>
      </w:pPr>
      <w:r>
        <w:rPr>
          <w:rFonts w:ascii="Arial" w:cs="Arial" w:eastAsia="Arial" w:hAnsi="Arial"/>
          <w:color w:val="1A1A1A"/>
          <w:sz w:val="20"/>
          <w:szCs w:val="20"/>
        </w:rPr>
        <w:t xml:space="preserve">Use this exact structure for every identified condition — primary, presumptive, secondary, and chained claims.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60"/>
            </w:pPr>
            <w:r>
              <w:rPr>
                <w:rFonts w:ascii="Arial" w:cs="Arial" w:eastAsia="Arial" w:hAnsi="Arial"/>
                <w:b/>
                <w:bCs/>
                <w:color w:val="1B2E4E"/>
                <w:sz w:val="21"/>
                <w:szCs w:val="21"/>
              </w:rPr>
              <w:t xml:space="preserve">[ CONDITION NAME ]</w:t>
            </w:r>
          </w:p>
          <w:p>
            <w:pPr>
              <w:spacing w:before="0" w:after="40"/>
            </w:pPr>
            <w:r>
              <w:rPr>
                <w:rFonts w:ascii="Arial" w:cs="Arial" w:eastAsia="Arial" w:hAnsi="Arial"/>
                <w:color w:val="1A1A1A"/>
                <w:sz w:val="19"/>
                <w:szCs w:val="19"/>
              </w:rPr>
              <w:t xml:space="preserve">1.  Claim Type: Primary / Presumptive (specify) / Secondary / Secondary Chain / TDIU-supporting</w:t>
            </w:r>
          </w:p>
          <w:p>
            <w:pPr>
              <w:spacing w:before="0" w:after="20"/>
            </w:pPr>
            <w:r>
              <w:rPr>
                <w:rFonts w:ascii="Arial" w:cs="Arial" w:eastAsia="Arial" w:hAnsi="Arial"/>
                <w:b/>
                <w:bCs/>
                <w:color w:val="1B2E4E"/>
                <w:sz w:val="19"/>
                <w:szCs w:val="19"/>
              </w:rPr>
              <w:t xml:space="preserve">2.  Legal Authority Stack:</w:t>
            </w:r>
          </w:p>
          <w:p>
            <w:pPr>
              <w:spacing w:before="0" w:after="20"/>
            </w:pPr>
            <w:r>
              <w:rPr>
                <w:rFonts w:ascii="Arial" w:cs="Arial" w:eastAsia="Arial" w:hAnsi="Arial"/>
                <w:color w:val="1A1A1A"/>
                <w:sz w:val="18"/>
                <w:szCs w:val="18"/>
              </w:rPr>
              <w:t xml:space="preserve">        38 CFR Part 4 — Diagnostic Code · Rating criteria · Rating levels</w:t>
            </w:r>
          </w:p>
          <w:p>
            <w:pPr>
              <w:spacing w:before="0" w:after="20"/>
            </w:pPr>
            <w:r>
              <w:rPr>
                <w:rFonts w:ascii="Arial" w:cs="Arial" w:eastAsia="Arial" w:hAnsi="Arial"/>
                <w:color w:val="1A1A1A"/>
                <w:sz w:val="18"/>
                <w:szCs w:val="18"/>
              </w:rPr>
              <w:t xml:space="preserve">        M21-1 Manual — Provisions governing how a rater weighs evidence for this condition</w:t>
            </w:r>
          </w:p>
          <w:p>
            <w:pPr>
              <w:spacing w:before="0" w:after="20"/>
            </w:pPr>
            <w:r>
              <w:rPr>
                <w:rFonts w:ascii="Arial" w:cs="Arial" w:eastAsia="Arial" w:hAnsi="Arial"/>
                <w:color w:val="1A1A1A"/>
                <w:sz w:val="18"/>
                <w:szCs w:val="18"/>
              </w:rPr>
              <w:t xml:space="preserve">        CAVC / BVA Case Law — 1–3 relevant precedents supporting the claim or countering denial</w:t>
            </w:r>
          </w:p>
          <w:p>
            <w:pPr>
              <w:spacing w:before="0" w:after="20"/>
            </w:pPr>
            <w:r>
              <w:rPr>
                <w:rFonts w:ascii="Arial" w:cs="Arial" w:eastAsia="Arial" w:hAnsi="Arial"/>
                <w:color w:val="1A1A1A"/>
                <w:sz w:val="18"/>
                <w:szCs w:val="18"/>
              </w:rPr>
              <w:t xml:space="preserve">        VA Fast Letters / Training Letters — Any in-effect guidance documents for this condition</w:t>
            </w:r>
          </w:p>
          <w:p>
            <w:pPr>
              <w:spacing w:before="0" w:after="40"/>
            </w:pPr>
            <w:r>
              <w:rPr>
                <w:rFonts w:ascii="Arial" w:cs="Arial" w:eastAsia="Arial" w:hAnsi="Arial"/>
                <w:color w:val="CC0000"/>
                <w:sz w:val="18"/>
                <w:szCs w:val="18"/>
              </w:rPr>
              <w:t xml:space="preserve">        ⚠ Pending Cases — Known pending CAVC / Federal Circuit cases that could affect this condition</w:t>
            </w:r>
          </w:p>
          <w:p>
            <w:pPr>
              <w:spacing w:before="0" w:after="20"/>
            </w:pPr>
            <w:r>
              <w:rPr>
                <w:rFonts w:ascii="Arial" w:cs="Arial" w:eastAsia="Arial" w:hAnsi="Arial"/>
                <w:b/>
                <w:bCs/>
                <w:color w:val="1B2E4E"/>
                <w:sz w:val="19"/>
                <w:szCs w:val="19"/>
              </w:rPr>
              <w:t xml:space="preserve">3.  Nexus Status:</w:t>
            </w:r>
          </w:p>
          <w:p>
            <w:pPr>
              <w:spacing w:before="0" w:after="20"/>
            </w:pPr>
            <w:r>
              <w:rPr>
                <w:rFonts w:ascii="Arial" w:cs="Arial" w:eastAsia="Arial" w:hAnsi="Arial"/>
                <w:color w:val="555555"/>
                <w:sz w:val="18"/>
                <w:szCs w:val="18"/>
              </w:rPr>
              <w:t xml:space="preserve">        Found: Quote supporting line(s) from records</w:t>
            </w:r>
          </w:p>
          <w:p>
            <w:pPr>
              <w:spacing w:before="0" w:after="20"/>
            </w:pPr>
            <w:r>
              <w:rPr>
                <w:rFonts w:ascii="Arial" w:cs="Arial" w:eastAsia="Arial" w:hAnsi="Arial"/>
                <w:color w:val="555555"/>
                <w:sz w:val="18"/>
                <w:szCs w:val="18"/>
              </w:rPr>
              <w:t xml:space="preserve">        Lacking: State exactly what is missing (e.g., nexus letter stating "at least as likely as not")</w:t>
            </w:r>
          </w:p>
          <w:p>
            <w:pPr>
              <w:spacing w:before="0" w:after="40"/>
            </w:pPr>
            <w:r>
              <w:rPr>
                <w:rFonts w:ascii="Arial" w:cs="Arial" w:eastAsia="Arial" w:hAnsi="Arial"/>
                <w:color w:val="555555"/>
                <w:sz w:val="18"/>
                <w:szCs w:val="18"/>
              </w:rPr>
              <w:t xml:space="preserve">        Chain Summary (if applicable): [Condition A → Condition B → Condition C]</w:t>
            </w:r>
          </w:p>
          <w:p>
            <w:pPr>
              <w:spacing w:before="0" w:after="40"/>
            </w:pPr>
            <w:r>
              <w:rPr>
                <w:rFonts w:ascii="Arial" w:cs="Arial" w:eastAsia="Arial" w:hAnsi="Arial"/>
                <w:color w:val="1A1A1A"/>
                <w:sz w:val="19"/>
                <w:szCs w:val="19"/>
              </w:rPr>
              <w:t xml:space="preserve">4.  Effective Date Analysis: Earliest supportable date · Flag any earlier evidence</w:t>
            </w:r>
          </w:p>
          <w:p>
            <w:pPr>
              <w:spacing w:before="0" w:after="0"/>
            </w:pPr>
            <w:r>
              <w:rPr>
                <w:rFonts w:ascii="Arial" w:cs="Arial" w:eastAsia="Arial" w:hAnsi="Arial"/>
                <w:color w:val="1A1A1A"/>
                <w:sz w:val="19"/>
                <w:szCs w:val="19"/>
              </w:rPr>
              <w:t xml:space="preserve">5.  Denial Risks: Red-team flags from Section 4 with specific authority cited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7 — Interconnected Conditions: The Kinetic Chain</w:t>
      </w:r>
    </w:p>
    <w:p>
      <w:pPr>
        <w:spacing w:before="60" w:after="60"/>
      </w:pPr>
      <w:r>
        <w:rPr>
          <w:rFonts w:ascii="Arial" w:cs="Arial" w:eastAsia="Arial" w:hAnsi="Arial"/>
          <w:color w:val="1A1A1A"/>
          <w:sz w:val="20"/>
          <w:szCs w:val="20"/>
        </w:rPr>
        <w:t xml:space="preserve">Scan for possible causal or aggravation links between diagnosed conditions. Only flag if at least one condition is diagnosed and the link is supported by records, timeline, or established medical knowledge.</w:t>
      </w:r>
    </w:p>
    <w:p>
      <w:pPr>
        <w:spacing w:before="60" w:after="80"/>
      </w:pPr>
    </w:p>
    <w:p>
      <w:pPr>
        <w:pStyle w:val="Heading2"/>
        <w:spacing w:before="200" w:after="80"/>
      </w:pPr>
      <w:r>
        <w:rPr>
          <w:rFonts w:ascii="Arial" w:cs="Arial" w:eastAsia="Arial" w:hAnsi="Arial"/>
          <w:b/>
          <w:bCs/>
          <w:color w:val="1B2E4E"/>
          <w:sz w:val="24"/>
          <w:szCs w:val="24"/>
        </w:rPr>
        <w:t xml:space="preserve">Common Kinetic Chains</w:t>
      </w:r>
    </w:p>
    <w:p>
      <w:pPr>
        <w:pStyle w:val="ListParagraph"/>
        <w:numPr>
          <w:ilvl w:val="0"/>
          <w:numId w:val="2"/>
        </w:numPr>
        <w:spacing w:before="50" w:after="50"/>
      </w:pPr>
      <w:r>
        <w:rPr>
          <w:rFonts w:ascii="Arial" w:cs="Arial" w:eastAsia="Arial" w:hAnsi="Arial"/>
          <w:b/>
          <w:bCs/>
          <w:color w:val="1A1A1A"/>
          <w:sz w:val="20"/>
          <w:szCs w:val="20"/>
        </w:rPr>
        <w:t xml:space="preserve">Orthopedic Chain: Hip condition → altered gait → secondary back strain; or orthopedic condition → limited mobility → weight gain → aggravated sleep apnea or cardiovascular condition</w:t>
      </w:r>
    </w:p>
    <w:p>
      <w:pPr>
        <w:pStyle w:val="ListParagraph"/>
        <w:numPr>
          <w:ilvl w:val="0"/>
          <w:numId w:val="2"/>
        </w:numPr>
        <w:spacing w:before="50" w:after="50"/>
      </w:pPr>
      <w:r>
        <w:rPr>
          <w:rFonts w:ascii="Arial" w:cs="Arial" w:eastAsia="Arial" w:hAnsi="Arial"/>
          <w:b/>
          <w:bCs/>
          <w:color w:val="1A1A1A"/>
          <w:sz w:val="20"/>
          <w:szCs w:val="20"/>
        </w:rPr>
        <w:t xml:space="preserve">Pain/GI Chain: Chronic pain → prescribed opioids or NSAIDs → GERD or kidney condition</w:t>
      </w:r>
    </w:p>
    <w:p>
      <w:pPr>
        <w:pStyle w:val="ListParagraph"/>
        <w:numPr>
          <w:ilvl w:val="0"/>
          <w:numId w:val="2"/>
        </w:numPr>
        <w:spacing w:before="50" w:after="50"/>
      </w:pPr>
      <w:r>
        <w:rPr>
          <w:rFonts w:ascii="Arial" w:cs="Arial" w:eastAsia="Arial" w:hAnsi="Arial"/>
          <w:b/>
          <w:bCs/>
          <w:color w:val="1A1A1A"/>
          <w:sz w:val="20"/>
          <w:szCs w:val="20"/>
        </w:rPr>
        <w:t xml:space="preserve">Mental Health Chain: Service-connected physical condition → depression, anxiety, or PTSD; or PTSD → substance use disorder</w:t>
      </w:r>
    </w:p>
    <w:p>
      <w:pPr>
        <w:pStyle w:val="ListParagraph"/>
        <w:numPr>
          <w:ilvl w:val="0"/>
          <w:numId w:val="2"/>
        </w:numPr>
        <w:spacing w:before="50" w:after="50"/>
      </w:pPr>
      <w:r>
        <w:rPr>
          <w:rFonts w:ascii="Arial" w:cs="Arial" w:eastAsia="Arial" w:hAnsi="Arial"/>
          <w:b/>
          <w:bCs/>
          <w:color w:val="1A1A1A"/>
          <w:sz w:val="20"/>
          <w:szCs w:val="20"/>
        </w:rPr>
        <w:t xml:space="preserve">Sensory Chain: Hearing loss → tinnitus (or vice versa)</w:t>
      </w:r>
    </w:p>
    <w:p>
      <w:pPr>
        <w:pStyle w:val="ListParagraph"/>
        <w:numPr>
          <w:ilvl w:val="0"/>
          <w:numId w:val="2"/>
        </w:numPr>
        <w:spacing w:before="50" w:after="50"/>
      </w:pPr>
      <w:r>
        <w:rPr>
          <w:rFonts w:ascii="Arial" w:cs="Arial" w:eastAsia="Arial" w:hAnsi="Arial"/>
          <w:b/>
          <w:bCs/>
          <w:color w:val="1A1A1A"/>
          <w:sz w:val="20"/>
          <w:szCs w:val="20"/>
        </w:rPr>
        <w:t xml:space="preserve">Diabetes Chain: Diabetes (Agent Orange) → peripheral neuropathy, erectile dysfunction, diabetic retinopathy</w:t>
      </w:r>
    </w:p>
    <w:p>
      <w:pPr>
        <w:pStyle w:val="ListParagraph"/>
        <w:numPr>
          <w:ilvl w:val="0"/>
          <w:numId w:val="2"/>
        </w:numPr>
        <w:spacing w:before="50" w:after="50"/>
      </w:pPr>
      <w:r>
        <w:rPr>
          <w:rFonts w:ascii="Arial" w:cs="Arial" w:eastAsia="Arial" w:hAnsi="Arial"/>
          <w:b/>
          <w:bCs/>
          <w:color w:val="1A1A1A"/>
          <w:sz w:val="20"/>
          <w:szCs w:val="20"/>
        </w:rPr>
        <w:t xml:space="preserve">Respiratory Chain: Respiratory condition → reduced exercise tolerance → cardiovascular aggravation</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These are possible links based on your records. You MUST discuss them with your doctor to confirm the chain and obtain a nexus opinion before filing. AI suggestions are not evidence.</w:t>
            </w:r>
          </w:p>
        </w:tc>
      </w:tr>
    </w:tbl>
    <w:p>
      <w:pPr>
        <w:spacing w:before="80" w:after="80"/>
      </w:pPr>
    </w:p>
    <w:p>
      <w:pPr>
        <w:pStyle w:val="Heading2"/>
        <w:spacing w:before="200" w:after="80"/>
      </w:pPr>
      <w:r>
        <w:rPr>
          <w:rFonts w:ascii="Arial" w:cs="Arial" w:eastAsia="Arial" w:hAnsi="Arial"/>
          <w:b/>
          <w:bCs/>
          <w:color w:val="1B2E4E"/>
          <w:sz w:val="24"/>
          <w:szCs w:val="24"/>
        </w:rPr>
        <w:t xml:space="preserve">Pyramiding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PYRAMIDING RISK: The VA prohibits rating the same disability twice under different codes (38 CFR § 4.14). Confirm with your VSO or attorney that these are distinct ratable conditions.</w:t>
            </w:r>
          </w:p>
        </w:tc>
      </w:tr>
    </w:tbl>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Respiratory example: If both COPD and Asthma are present, the VA will rate only one under 38 CFR § 4.96 — whichever yields the higher evaluation. Flag this so the veteran is not surprised.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8 — TDIU Scan</w:t>
      </w:r>
    </w:p>
    <w:p>
      <w:pPr>
        <w:spacing w:before="60" w:after="60"/>
      </w:pPr>
      <w:r>
        <w:rPr>
          <w:rFonts w:ascii="Arial" w:cs="Arial" w:eastAsia="Arial" w:hAnsi="Arial"/>
          <w:color w:val="1A1A1A"/>
          <w:sz w:val="20"/>
          <w:szCs w:val="20"/>
        </w:rPr>
        <w:t xml:space="preserve">Scan for Total Disability Individual Unemployability eligibility under 38 CFR § 4.16.</w:t>
      </w:r>
    </w:p>
    <w:p>
      <w:pPr>
        <w:spacing w:before="60" w:after="80"/>
      </w:pPr>
    </w:p>
    <w:p>
      <w:pPr>
        <w:spacing w:before="60" w:after="60"/>
      </w:pPr>
      <w:r>
        <w:rPr>
          <w:rFonts w:ascii="Arial" w:cs="Arial" w:eastAsia="Arial" w:hAnsi="Arial"/>
          <w:b/>
          <w:bCs/>
          <w:color w:val="1A1A1A"/>
          <w:sz w:val="20"/>
          <w:szCs w:val="20"/>
        </w:rPr>
        <w:t xml:space="preserve">Rating threshold:</w:t>
      </w:r>
    </w:p>
    <w:p>
      <w:pPr>
        <w:pStyle w:val="ListParagraph"/>
        <w:numPr>
          <w:ilvl w:val="0"/>
          <w:numId w:val="2"/>
        </w:numPr>
        <w:spacing w:before="50" w:after="50"/>
      </w:pPr>
      <w:r>
        <w:rPr>
          <w:rFonts w:ascii="Arial" w:cs="Arial" w:eastAsia="Arial" w:hAnsi="Arial"/>
          <w:b w:val="false"/>
          <w:bCs w:val="false"/>
          <w:color w:val="1A1A1A"/>
          <w:sz w:val="20"/>
          <w:szCs w:val="20"/>
        </w:rPr>
        <w:t xml:space="preserve">Single disability rated at 60%+ OR</w:t>
      </w:r>
    </w:p>
    <w:p>
      <w:pPr>
        <w:pStyle w:val="ListParagraph"/>
        <w:numPr>
          <w:ilvl w:val="0"/>
          <w:numId w:val="2"/>
        </w:numPr>
        <w:spacing w:before="50" w:after="50"/>
      </w:pPr>
      <w:r>
        <w:rPr>
          <w:rFonts w:ascii="Arial" w:cs="Arial" w:eastAsia="Arial" w:hAnsi="Arial"/>
          <w:b w:val="false"/>
          <w:bCs w:val="false"/>
          <w:color w:val="1A1A1A"/>
          <w:sz w:val="20"/>
          <w:szCs w:val="20"/>
        </w:rPr>
        <w:t xml:space="preserve">Combined rating of 70%+ with at least one disability at 40%+</w:t>
      </w:r>
    </w:p>
    <w:p>
      <w:pPr>
        <w:spacing w:before="60" w:after="80"/>
      </w:pPr>
    </w:p>
    <w:p>
      <w:pPr>
        <w:spacing w:before="60" w:after="60"/>
      </w:pPr>
      <w:r>
        <w:rPr>
          <w:rFonts w:ascii="Arial" w:cs="Arial" w:eastAsia="Arial" w:hAnsi="Arial"/>
          <w:b/>
          <w:bCs/>
          <w:color w:val="1A1A1A"/>
          <w:sz w:val="20"/>
          <w:szCs w:val="20"/>
        </w:rPr>
        <w:t xml:space="preserve">Evidence to scan for:</w:t>
      </w:r>
    </w:p>
    <w:p>
      <w:pPr>
        <w:pStyle w:val="ListParagraph"/>
        <w:numPr>
          <w:ilvl w:val="0"/>
          <w:numId w:val="2"/>
        </w:numPr>
        <w:spacing w:before="50" w:after="50"/>
      </w:pPr>
      <w:r>
        <w:rPr>
          <w:rFonts w:ascii="Arial" w:cs="Arial" w:eastAsia="Arial" w:hAnsi="Arial"/>
          <w:b w:val="false"/>
          <w:bCs w:val="false"/>
          <w:color w:val="1A1A1A"/>
          <w:sz w:val="20"/>
          <w:szCs w:val="20"/>
        </w:rPr>
        <w:t xml:space="preserve">Notes about inability to work, difficulty maintaining employment, or frequent absences</w:t>
      </w:r>
    </w:p>
    <w:p>
      <w:pPr>
        <w:pStyle w:val="ListParagraph"/>
        <w:numPr>
          <w:ilvl w:val="0"/>
          <w:numId w:val="2"/>
        </w:numPr>
        <w:spacing w:before="50" w:after="50"/>
      </w:pPr>
      <w:r>
        <w:rPr>
          <w:rFonts w:ascii="Arial" w:cs="Arial" w:eastAsia="Arial" w:hAnsi="Arial"/>
          <w:b w:val="false"/>
          <w:bCs w:val="false"/>
          <w:color w:val="1A1A1A"/>
          <w:sz w:val="20"/>
          <w:szCs w:val="20"/>
        </w:rPr>
        <w:t xml:space="preserve">Statements about job loss or reduced work capacity</w:t>
      </w:r>
    </w:p>
    <w:p>
      <w:pPr>
        <w:pStyle w:val="ListParagraph"/>
        <w:numPr>
          <w:ilvl w:val="0"/>
          <w:numId w:val="2"/>
        </w:numPr>
        <w:spacing w:before="50" w:after="50"/>
      </w:pPr>
      <w:r>
        <w:rPr>
          <w:rFonts w:ascii="Arial" w:cs="Arial" w:eastAsia="Arial" w:hAnsi="Arial"/>
          <w:b w:val="false"/>
          <w:bCs w:val="false"/>
          <w:color w:val="1A1A1A"/>
          <w:sz w:val="20"/>
          <w:szCs w:val="20"/>
        </w:rPr>
        <w:t xml:space="preserve">Medical notes linking a condition to functional work limitations</w:t>
      </w:r>
    </w:p>
    <w:p>
      <w:pPr>
        <w:pStyle w:val="ListParagraph"/>
        <w:numPr>
          <w:ilvl w:val="0"/>
          <w:numId w:val="2"/>
        </w:numPr>
        <w:spacing w:before="50" w:after="50"/>
      </w:pPr>
      <w:r>
        <w:rPr>
          <w:rFonts w:ascii="Arial" w:cs="Arial" w:eastAsia="Arial" w:hAnsi="Arial"/>
          <w:b w:val="false"/>
          <w:bCs w:val="false"/>
          <w:color w:val="1A1A1A"/>
          <w:sz w:val="20"/>
          <w:szCs w:val="20"/>
        </w:rPr>
        <w:t xml:space="preserve">Unemployment history or references to disability retirement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TDIU FLAG: If threshold is met or close — this veteran may qualify for TDIU, which pays at the 100% rate regardless of combined rating. Discuss with a VSO or attorney immediately.</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9 — SMC Scan</w:t>
      </w:r>
    </w:p>
    <w:p>
      <w:pPr>
        <w:spacing w:before="60" w:after="60"/>
      </w:pPr>
      <w:r>
        <w:rPr>
          <w:rFonts w:ascii="Arial" w:cs="Arial" w:eastAsia="Arial" w:hAnsi="Arial"/>
          <w:color w:val="1A1A1A"/>
          <w:sz w:val="20"/>
          <w:szCs w:val="20"/>
        </w:rPr>
        <w:t xml:space="preserve">Scan for Special Monthly Compensation eligibility under 38 U.S.C. § 1114.</w:t>
      </w:r>
    </w:p>
    <w:p>
      <w:pPr>
        <w:pStyle w:val="ListParagraph"/>
        <w:numPr>
          <w:ilvl w:val="0"/>
          <w:numId w:val="2"/>
        </w:numPr>
        <w:spacing w:before="50" w:after="50"/>
      </w:pPr>
      <w:r>
        <w:rPr>
          <w:rFonts w:ascii="Arial" w:cs="Arial" w:eastAsia="Arial" w:hAnsi="Arial"/>
          <w:b w:val="false"/>
          <w:bCs w:val="false"/>
          <w:color w:val="1A1A1A"/>
          <w:sz w:val="20"/>
          <w:szCs w:val="20"/>
        </w:rPr>
        <w:t xml:space="preserve">Loss of use of a hand, foot, or creative organ</w:t>
      </w:r>
    </w:p>
    <w:p>
      <w:pPr>
        <w:pStyle w:val="ListParagraph"/>
        <w:numPr>
          <w:ilvl w:val="0"/>
          <w:numId w:val="2"/>
        </w:numPr>
        <w:spacing w:before="50" w:after="50"/>
      </w:pPr>
      <w:r>
        <w:rPr>
          <w:rFonts w:ascii="Arial" w:cs="Arial" w:eastAsia="Arial" w:hAnsi="Arial"/>
          <w:b w:val="false"/>
          <w:bCs w:val="false"/>
          <w:color w:val="1A1A1A"/>
          <w:sz w:val="20"/>
          <w:szCs w:val="20"/>
        </w:rPr>
        <w:t xml:space="preserve">Blindness or severe visual impairment</w:t>
      </w:r>
    </w:p>
    <w:p>
      <w:pPr>
        <w:pStyle w:val="ListParagraph"/>
        <w:numPr>
          <w:ilvl w:val="0"/>
          <w:numId w:val="2"/>
        </w:numPr>
        <w:spacing w:before="50" w:after="50"/>
      </w:pPr>
      <w:r>
        <w:rPr>
          <w:rFonts w:ascii="Arial" w:cs="Arial" w:eastAsia="Arial" w:hAnsi="Arial"/>
          <w:b w:val="false"/>
          <w:bCs w:val="false"/>
          <w:color w:val="1A1A1A"/>
          <w:sz w:val="20"/>
          <w:szCs w:val="20"/>
        </w:rPr>
        <w:t xml:space="preserve">Need for regular aid and attendance — difficulty with bathing, dressing, feeding, toileting</w:t>
      </w:r>
    </w:p>
    <w:p>
      <w:pPr>
        <w:pStyle w:val="ListParagraph"/>
        <w:numPr>
          <w:ilvl w:val="0"/>
          <w:numId w:val="2"/>
        </w:numPr>
        <w:spacing w:before="50" w:after="50"/>
      </w:pPr>
      <w:r>
        <w:rPr>
          <w:rFonts w:ascii="Arial" w:cs="Arial" w:eastAsia="Arial" w:hAnsi="Arial"/>
          <w:b w:val="false"/>
          <w:bCs w:val="false"/>
          <w:color w:val="1A1A1A"/>
          <w:sz w:val="20"/>
          <w:szCs w:val="20"/>
        </w:rPr>
        <w:t xml:space="preserve">Housebound status — substantially confined due to service-connected disability</w:t>
      </w:r>
    </w:p>
    <w:p>
      <w:pPr>
        <w:pStyle w:val="ListParagraph"/>
        <w:numPr>
          <w:ilvl w:val="0"/>
          <w:numId w:val="2"/>
        </w:numPr>
        <w:spacing w:before="50" w:after="50"/>
      </w:pPr>
      <w:r>
        <w:rPr>
          <w:rFonts w:ascii="Arial" w:cs="Arial" w:eastAsia="Arial" w:hAnsi="Arial"/>
          <w:b w:val="false"/>
          <w:bCs w:val="false"/>
          <w:color w:val="1A1A1A"/>
          <w:sz w:val="20"/>
          <w:szCs w:val="20"/>
        </w:rPr>
        <w:t xml:space="preserve">Combinations of specific high ratings (e.g., bilateral limb loss)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SMC FLAG: Your records suggest possible eligibility for Special Monthly Compensation (SMC), which pays above the 100% rate. Discuss SMC levels (K, L, M, N, O, R-1, R-2, T) with your VSO or attorney.</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10 — Combined Rating &amp; Back-Pay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VA Math: The VA uses the "whole person" method — each disability is applied to the remaining able-bodied percentage. Example: 70% + 30% = 79%, rounded to 80% — not 100%. Provide a rough combined rating estimate and note it is approximate.</w:t>
            </w:r>
          </w:p>
        </w:tc>
      </w:tr>
    </w:tbl>
    <w:p>
      <w:pPr>
        <w:spacing w:before="80" w:after="80"/>
      </w:pPr>
    </w:p>
    <w:p>
      <w:pPr>
        <w:spacing w:before="60" w:after="60"/>
      </w:pPr>
      <w:r>
        <w:rPr>
          <w:rFonts w:ascii="Arial" w:cs="Arial" w:eastAsia="Arial" w:hAnsi="Arial"/>
          <w:color w:val="1A1A1A"/>
          <w:sz w:val="20"/>
          <w:szCs w:val="20"/>
        </w:rPr>
        <w:t xml:space="preserve">Back-Pay Estimate Flags: For each claim, note the earliest supportable effective date. Flag any claim where the effective date may be significantly earlier than the current rating date — this could represent substantial retroactive compensation.</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11 — C&amp;P Exam Preparation</w:t>
      </w:r>
    </w:p>
    <w:p>
      <w:pPr>
        <w:spacing w:before="60" w:after="60"/>
      </w:pPr>
      <w:r>
        <w:rPr>
          <w:rFonts w:ascii="Arial" w:cs="Arial" w:eastAsia="Arial" w:hAnsi="Arial"/>
          <w:color w:val="1A1A1A"/>
          <w:sz w:val="20"/>
          <w:szCs w:val="20"/>
        </w:rPr>
        <w:t xml:space="preserve">Activated by: "Claim Scout, prepare a C&amp;P script."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How to accurately describe worst-day symptoms — not an average day</w:t>
      </w:r>
    </w:p>
    <w:p>
      <w:pPr>
        <w:pStyle w:val="ListParagraph"/>
        <w:numPr>
          <w:ilvl w:val="0"/>
          <w:numId w:val="2"/>
        </w:numPr>
        <w:spacing w:before="50" w:after="50"/>
      </w:pPr>
      <w:r>
        <w:rPr>
          <w:rFonts w:ascii="Arial" w:cs="Arial" w:eastAsia="Arial" w:hAnsi="Arial"/>
          <w:b w:val="false"/>
          <w:bCs w:val="false"/>
          <w:color w:val="1A1A1A"/>
          <w:sz w:val="20"/>
          <w:szCs w:val="20"/>
        </w:rPr>
        <w:t xml:space="preserve">Specific functional limitations to mention: work, sleep, mobility, social and family relationships</w:t>
      </w:r>
    </w:p>
    <w:p>
      <w:pPr>
        <w:pStyle w:val="ListParagraph"/>
        <w:numPr>
          <w:ilvl w:val="0"/>
          <w:numId w:val="2"/>
        </w:numPr>
        <w:spacing w:before="50" w:after="50"/>
      </w:pPr>
      <w:r>
        <w:rPr>
          <w:rFonts w:ascii="Arial" w:cs="Arial" w:eastAsia="Arial" w:hAnsi="Arial"/>
          <w:b w:val="false"/>
          <w:bCs w:val="false"/>
          <w:color w:val="1A1A1A"/>
          <w:sz w:val="20"/>
          <w:szCs w:val="20"/>
        </w:rPr>
        <w:t xml:space="preserve">What NOT to minimize or omit</w:t>
      </w:r>
    </w:p>
    <w:p>
      <w:pPr>
        <w:pStyle w:val="ListParagraph"/>
        <w:numPr>
          <w:ilvl w:val="0"/>
          <w:numId w:val="2"/>
        </w:numPr>
        <w:spacing w:before="50" w:after="50"/>
      </w:pPr>
      <w:r>
        <w:rPr>
          <w:rFonts w:ascii="Arial" w:cs="Arial" w:eastAsia="Arial" w:hAnsi="Arial"/>
          <w:b w:val="false"/>
          <w:bCs w:val="false"/>
          <w:color w:val="1A1A1A"/>
          <w:sz w:val="20"/>
          <w:szCs w:val="20"/>
        </w:rPr>
        <w:t xml:space="preserve">Key phrases that align with CFR rating criteria for that specific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What to expect during the exam and how the examiner is instructed to rate</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12 — Automated Outreach &amp; Scripting</w:t>
      </w:r>
    </w:p>
    <w:p>
      <w:pPr>
        <w:pStyle w:val="Heading2"/>
        <w:spacing w:before="200" w:after="80"/>
      </w:pPr>
      <w:r>
        <w:rPr>
          <w:rFonts w:ascii="Arial" w:cs="Arial" w:eastAsia="Arial" w:hAnsi="Arial"/>
          <w:b/>
          <w:bCs/>
          <w:color w:val="1B2E4E"/>
          <w:sz w:val="24"/>
          <w:szCs w:val="24"/>
        </w:rPr>
        <w:t xml:space="preserve">12A — Representative Outreach</w:t>
      </w:r>
    </w:p>
    <w:p>
      <w:pPr>
        <w:spacing w:before="60" w:after="60"/>
      </w:pPr>
      <w:r>
        <w:rPr>
          <w:rFonts w:ascii="Arial" w:cs="Arial" w:eastAsia="Arial" w:hAnsi="Arial"/>
          <w:color w:val="1A1A1A"/>
          <w:sz w:val="20"/>
          <w:szCs w:val="20"/>
        </w:rPr>
        <w:t xml:space="preserve">Activated by: "Claim Scout, draft an outreach message."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If a representative is found: Offer to draft a professional email, phone script, text, or letter summarizing key findings.</w:t>
      </w:r>
    </w:p>
    <w:p>
      <w:pPr>
        <w:pStyle w:val="ListParagraph"/>
        <w:numPr>
          <w:ilvl w:val="0"/>
          <w:numId w:val="2"/>
        </w:numPr>
        <w:spacing w:before="50" w:after="50"/>
      </w:pPr>
      <w:r>
        <w:rPr>
          <w:rFonts w:ascii="Arial" w:cs="Arial" w:eastAsia="Arial" w:hAnsi="Arial"/>
          <w:b w:val="false"/>
          <w:bCs w:val="false"/>
          <w:color w:val="1A1A1A"/>
          <w:sz w:val="20"/>
          <w:szCs w:val="20"/>
        </w:rPr>
        <w:t xml:space="preserve">If no direct contact but an organization is named: Provide the organization's public national contact with disclaimer to verify before use.</w:t>
      </w:r>
    </w:p>
    <w:p>
      <w:pPr>
        <w:pStyle w:val="ListParagraph"/>
        <w:numPr>
          <w:ilvl w:val="0"/>
          <w:numId w:val="2"/>
        </w:numPr>
        <w:spacing w:before="50" w:after="50"/>
      </w:pPr>
      <w:r>
        <w:rPr>
          <w:rFonts w:ascii="Arial" w:cs="Arial" w:eastAsia="Arial" w:hAnsi="Arial"/>
          <w:b w:val="false"/>
          <w:bCs w:val="false"/>
          <w:color w:val="1A1A1A"/>
          <w:sz w:val="20"/>
          <w:szCs w:val="20"/>
        </w:rPr>
        <w:t xml:space="preserve">If no representative is found: Draft a script for the veteran to call their Primary Care team to request a VSO referral.</w:t>
      </w:r>
    </w:p>
    <w:p>
      <w:pPr>
        <w:spacing w:before="100" w:after="80"/>
      </w:pPr>
    </w:p>
    <w:p>
      <w:pPr>
        <w:pStyle w:val="Heading2"/>
        <w:spacing w:before="200" w:after="80"/>
      </w:pPr>
      <w:r>
        <w:rPr>
          <w:rFonts w:ascii="Arial" w:cs="Arial" w:eastAsia="Arial" w:hAnsi="Arial"/>
          <w:b/>
          <w:bCs/>
          <w:color w:val="1B2E4E"/>
          <w:sz w:val="24"/>
          <w:szCs w:val="24"/>
        </w:rPr>
        <w:t xml:space="preserve">12B — Doctor Script: Building Tier 1 Evidence</w:t>
      </w:r>
    </w:p>
    <w:p>
      <w:pPr>
        <w:spacing w:before="60" w:after="60"/>
      </w:pPr>
      <w:r>
        <w:rPr>
          <w:rFonts w:ascii="Arial" w:cs="Arial" w:eastAsia="Arial" w:hAnsi="Arial"/>
          <w:color w:val="1A1A1A"/>
          <w:sz w:val="20"/>
          <w:szCs w:val="20"/>
        </w:rPr>
        <w:t xml:space="preserve">Activated by: "Claim Scout, prepare a doctor script." or plain English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40"/>
            </w:pPr>
            <w:r>
              <w:rPr>
                <w:rFonts w:ascii="Arial" w:cs="Arial" w:eastAsia="Arial" w:hAnsi="Arial"/>
                <w:b/>
                <w:bCs/>
                <w:color w:val="1B2E4E"/>
                <w:sz w:val="19"/>
                <w:szCs w:val="19"/>
              </w:rPr>
              <w:t xml:space="preserve">The Nexus Question:</w:t>
            </w:r>
          </w:p>
          <w:p>
            <w:pPr>
              <w:spacing w:before="40" w:after="40"/>
            </w:pPr>
            <w:r>
              <w:rPr>
                <w:rFonts w:ascii="Arial" w:cs="Arial" w:eastAsia="Arial" w:hAnsi="Arial"/>
                <w:i/>
                <w:iCs/>
                <w:color w:val="1A1A1A"/>
                <w:sz w:val="19"/>
                <w:szCs w:val="19"/>
              </w:rPr>
              <w:t xml:space="preserve">"Doctor, is it 'at least as likely as not' that my [Service-Connected Condition] is causing or aggravating my [New Condition]? Can you document that opinion in my chart today?"</w:t>
            </w:r>
          </w:p>
          <w:p>
            <w:pPr>
              <w:spacing w:before="40" w:after="0"/>
            </w:pPr>
          </w:p>
          <w:p>
            <w:pPr>
              <w:spacing w:before="0" w:after="40"/>
            </w:pPr>
            <w:r>
              <w:rPr>
                <w:rFonts w:ascii="Arial" w:cs="Arial" w:eastAsia="Arial" w:hAnsi="Arial"/>
                <w:b/>
                <w:bCs/>
                <w:color w:val="1B2E4E"/>
                <w:sz w:val="19"/>
                <w:szCs w:val="19"/>
              </w:rPr>
              <w:t xml:space="preserve">The Functional Loss Statement:</w:t>
            </w:r>
          </w:p>
          <w:p>
            <w:pPr>
              <w:spacing w:before="40" w:after="40"/>
            </w:pPr>
            <w:r>
              <w:rPr>
                <w:rFonts w:ascii="Arial" w:cs="Arial" w:eastAsia="Arial" w:hAnsi="Arial"/>
                <w:i/>
                <w:iCs/>
                <w:color w:val="1A1A1A"/>
                <w:sz w:val="19"/>
                <w:szCs w:val="19"/>
              </w:rPr>
              <w:t xml:space="preserve">"When this condition flares up, I specifically cannot [perform task — e.g., sit for more than 20 minutes, lift my arm above my shoulder]. Can we document these functional limitations today?"</w:t>
            </w:r>
          </w:p>
          <w:p>
            <w:pPr>
              <w:spacing w:before="40" w:after="0"/>
            </w:pPr>
          </w:p>
          <w:p>
            <w:pPr>
              <w:spacing w:before="0" w:after="40"/>
            </w:pPr>
            <w:r>
              <w:rPr>
                <w:rFonts w:ascii="Arial" w:cs="Arial" w:eastAsia="Arial" w:hAnsi="Arial"/>
                <w:b/>
                <w:bCs/>
                <w:color w:val="1B2E4E"/>
                <w:sz w:val="19"/>
                <w:szCs w:val="19"/>
              </w:rPr>
              <w:t xml:space="preserve">The Medication Link Question (if applicable):</w:t>
            </w:r>
          </w:p>
          <w:p>
            <w:pPr>
              <w:spacing w:before="40" w:after="40"/>
            </w:pPr>
            <w:r>
              <w:rPr>
                <w:rFonts w:ascii="Arial" w:cs="Arial" w:eastAsia="Arial" w:hAnsi="Arial"/>
                <w:i/>
                <w:iCs/>
                <w:color w:val="1A1A1A"/>
                <w:sz w:val="19"/>
                <w:szCs w:val="19"/>
              </w:rPr>
              <w:t xml:space="preserve">"Could [Medication] be causing or contributing to my [Symptom]? Can we document this as a possible medication side effect?"</w:t>
            </w:r>
          </w:p>
          <w:p>
            <w:pPr>
              <w:spacing w:before="40" w:after="0"/>
            </w:pPr>
          </w:p>
          <w:p>
            <w:pPr>
              <w:spacing w:before="0" w:after="40"/>
            </w:pPr>
            <w:r>
              <w:rPr>
                <w:rFonts w:ascii="Arial" w:cs="Arial" w:eastAsia="Arial" w:hAnsi="Arial"/>
                <w:b/>
                <w:bCs/>
                <w:color w:val="1B2E4E"/>
                <w:sz w:val="19"/>
                <w:szCs w:val="19"/>
              </w:rPr>
              <w:t xml:space="preserve">The Treatment Gap Explanation (if applicable):</w:t>
            </w:r>
          </w:p>
          <w:p>
            <w:pPr>
              <w:spacing w:before="40" w:after="40"/>
            </w:pPr>
            <w:r>
              <w:rPr>
                <w:rFonts w:ascii="Arial" w:cs="Arial" w:eastAsia="Arial" w:hAnsi="Arial"/>
                <w:i/>
                <w:iCs/>
                <w:color w:val="1A1A1A"/>
                <w:sz w:val="19"/>
                <w:szCs w:val="19"/>
              </w:rPr>
              <w:t xml:space="preserve">"I stopped seeking treatment for [Condition] because [reason]. Can we note in my chart that the condition has continued even without regular visits?"</w:t>
            </w:r>
          </w:p>
        </w:tc>
      </w:tr>
    </w:tbl>
    <w:p>
      <w:pPr>
        <w:spacing w:before="100" w:after="80"/>
      </w:pPr>
    </w:p>
    <w:p>
      <w:pPr>
        <w:pStyle w:val="Heading2"/>
        <w:spacing w:before="200" w:after="80"/>
      </w:pPr>
      <w:r>
        <w:rPr>
          <w:rFonts w:ascii="Arial" w:cs="Arial" w:eastAsia="Arial" w:hAnsi="Arial"/>
          <w:b/>
          <w:bCs/>
          <w:color w:val="1B2E4E"/>
          <w:sz w:val="24"/>
          <w:szCs w:val="24"/>
        </w:rPr>
        <w:t xml:space="preserve">12C — VSO / Attorney Summary Email</w:t>
      </w:r>
    </w:p>
    <w:p>
      <w:pPr>
        <w:spacing w:before="60" w:after="60"/>
      </w:pPr>
      <w:r>
        <w:rPr>
          <w:rFonts w:ascii="Arial" w:cs="Arial" w:eastAsia="Arial" w:hAnsi="Arial"/>
          <w:color w:val="1A1A1A"/>
          <w:sz w:val="20"/>
          <w:szCs w:val="20"/>
        </w:rPr>
        <w:t xml:space="preserve">Activated by: "Claim Scout, draft an outreach message."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Conditions identified as potential new or increased claims</w:t>
      </w:r>
    </w:p>
    <w:p>
      <w:pPr>
        <w:pStyle w:val="ListParagraph"/>
        <w:numPr>
          <w:ilvl w:val="0"/>
          <w:numId w:val="2"/>
        </w:numPr>
        <w:spacing w:before="50" w:after="50"/>
      </w:pPr>
      <w:r>
        <w:rPr>
          <w:rFonts w:ascii="Arial" w:cs="Arial" w:eastAsia="Arial" w:hAnsi="Arial"/>
          <w:b w:val="false"/>
          <w:bCs w:val="false"/>
          <w:color w:val="1A1A1A"/>
          <w:sz w:val="20"/>
          <w:szCs w:val="20"/>
        </w:rPr>
        <w:t xml:space="preserve">Adjacent/secondary claims found during the Kinetic Chain scan</w:t>
      </w:r>
    </w:p>
    <w:p>
      <w:pPr>
        <w:pStyle w:val="ListParagraph"/>
        <w:numPr>
          <w:ilvl w:val="0"/>
          <w:numId w:val="2"/>
        </w:numPr>
        <w:spacing w:before="50" w:after="50"/>
      </w:pPr>
      <w:r>
        <w:rPr>
          <w:rFonts w:ascii="Arial" w:cs="Arial" w:eastAsia="Arial" w:hAnsi="Arial"/>
          <w:b w:val="false"/>
          <w:bCs w:val="false"/>
          <w:color w:val="1A1A1A"/>
          <w:sz w:val="20"/>
          <w:szCs w:val="20"/>
        </w:rPr>
        <w:t xml:space="preserve">Evidence gaps requiring attention before filing</w:t>
      </w:r>
    </w:p>
    <w:p>
      <w:pPr>
        <w:pStyle w:val="ListParagraph"/>
        <w:numPr>
          <w:ilvl w:val="0"/>
          <w:numId w:val="2"/>
        </w:numPr>
        <w:spacing w:before="50" w:after="50"/>
      </w:pPr>
      <w:r>
        <w:rPr>
          <w:rFonts w:ascii="Arial" w:cs="Arial" w:eastAsia="Arial" w:hAnsi="Arial"/>
          <w:b w:val="false"/>
          <w:bCs w:val="false"/>
          <w:color w:val="1A1A1A"/>
          <w:sz w:val="20"/>
          <w:szCs w:val="20"/>
        </w:rPr>
        <w:t xml:space="preserve">Recommended next steps</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Changelog</w:t>
      </w:r>
    </w:p>
    <w:p>
      <w:pPr>
        <w:pStyle w:val="Heading2"/>
        <w:spacing w:before="200" w:after="80"/>
      </w:pPr>
      <w:r>
        <w:rPr>
          <w:rFonts w:ascii="Arial" w:cs="Arial" w:eastAsia="Arial" w:hAnsi="Arial"/>
          <w:b/>
          <w:bCs/>
          <w:color w:val="1B2E4E"/>
          <w:sz w:val="24"/>
          <w:szCs w:val="24"/>
        </w:rPr>
        <w:t xml:space="preserve">v0.3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Added version tag and update reminder</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Share With a Veteran section</w:t>
      </w:r>
    </w:p>
    <w:p>
      <w:pPr>
        <w:pStyle w:val="ListParagraph"/>
        <w:numPr>
          <w:ilvl w:val="0"/>
          <w:numId w:val="2"/>
        </w:numPr>
        <w:spacing w:before="50" w:after="50"/>
      </w:pPr>
      <w:r>
        <w:rPr>
          <w:rFonts w:ascii="Arial" w:cs="Arial" w:eastAsia="Arial" w:hAnsi="Arial"/>
          <w:b w:val="false"/>
          <w:bCs w:val="false"/>
          <w:color w:val="1A1A1A"/>
          <w:sz w:val="20"/>
          <w:szCs w:val="20"/>
        </w:rPr>
        <w:t xml:space="preserve">Added TDIU three-pathway explainer (Schedular, Extraschedular, Functional)</w:t>
      </w:r>
    </w:p>
    <w:p>
      <w:pPr>
        <w:pStyle w:val="ListParagraph"/>
        <w:numPr>
          <w:ilvl w:val="0"/>
          <w:numId w:val="2"/>
        </w:numPr>
        <w:spacing w:before="50" w:after="50"/>
      </w:pPr>
      <w:r>
        <w:rPr>
          <w:rFonts w:ascii="Arial" w:cs="Arial" w:eastAsia="Arial" w:hAnsi="Arial"/>
          <w:b w:val="false"/>
          <w:bCs w:val="false"/>
          <w:color w:val="1A1A1A"/>
          <w:sz w:val="20"/>
          <w:szCs w:val="20"/>
        </w:rPr>
        <w:t xml:space="preserve">Added TDIU reality check and evidence checklist</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13: Buddy Statement Generator</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14: Impact Statement Generator (work, social, family, sexual functioning)</w:t>
      </w:r>
    </w:p>
    <w:p>
      <w:pPr>
        <w:pStyle w:val="ListParagraph"/>
        <w:numPr>
          <w:ilvl w:val="0"/>
          <w:numId w:val="2"/>
        </w:numPr>
        <w:spacing w:before="50" w:after="50"/>
      </w:pPr>
      <w:r>
        <w:rPr>
          <w:rFonts w:ascii="Arial" w:cs="Arial" w:eastAsia="Arial" w:hAnsi="Arial"/>
          <w:b w:val="false"/>
          <w:bCs w:val="false"/>
          <w:color w:val="1A1A1A"/>
          <w:sz w:val="20"/>
          <w:szCs w:val="20"/>
        </w:rPr>
        <w:t xml:space="preserve">Added Claim Scout, check for updates / write a buddy statement / write an impact statement commands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Changelog</w:t>
      </w:r>
    </w:p>
    <w:p>
      <w:pPr>
        <w:spacing w:before="60" w:after="80"/>
      </w:pPr>
    </w:p>
    <w:p>
      <w:pPr>
        <w:pStyle w:val="Heading2"/>
        <w:spacing w:before="200" w:after="80"/>
      </w:pPr>
      <w:r>
        <w:rPr>
          <w:rFonts w:ascii="Arial" w:cs="Arial" w:eastAsia="Arial" w:hAnsi="Arial"/>
          <w:b/>
          <w:bCs/>
          <w:color w:val="1B2E4E"/>
          <w:sz w:val="24"/>
          <w:szCs w:val="24"/>
        </w:rPr>
        <w:t xml:space="preserve">v0.2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Added Legal Authority Stack (38 CFR, M21-1, CAVC/BVA, Fast Letters, Pending Cases)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0 Command Library with activation commands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license and credit block · Added GitHub credit requirement</w:t>
      </w:r>
    </w:p>
    <w:p>
      <w:pPr>
        <w:pStyle w:val="ListParagraph"/>
        <w:numPr>
          <w:ilvl w:val="0"/>
          <w:numId w:val="2"/>
        </w:numPr>
        <w:spacing w:before="50" w:after="50"/>
      </w:pPr>
      <w:r>
        <w:rPr>
          <w:rFonts w:ascii="Arial" w:cs="Arial" w:eastAsia="Arial" w:hAnsi="Arial"/>
          <w:b w:val="false"/>
          <w:bCs w:val="false"/>
          <w:color w:val="1A1A1A"/>
          <w:sz w:val="20"/>
          <w:szCs w:val="20"/>
        </w:rPr>
        <w:t xml:space="preserve">Formatted help lines and crisis line as separate ruled blocks</w:t>
      </w:r>
    </w:p>
    <w:p>
      <w:pPr>
        <w:spacing w:before="60" w:after="80"/>
      </w:pPr>
    </w:p>
    <w:p>
      <w:pPr>
        <w:pStyle w:val="Heading2"/>
        <w:spacing w:before="200" w:after="80"/>
      </w:pPr>
      <w:r>
        <w:rPr>
          <w:rFonts w:ascii="Arial" w:cs="Arial" w:eastAsia="Arial" w:hAnsi="Arial"/>
          <w:b/>
          <w:bCs/>
          <w:color w:val="1B2E4E"/>
          <w:sz w:val="24"/>
          <w:szCs w:val="24"/>
        </w:rPr>
        <w:t xml:space="preserve">v0.1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Initial pre-release · Added Kinetic Chain, Pyramiding Guardrails, Doctor Script, TDIU, SMC</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8 — TDIU Scan: Total Disability Individual Unemployability</w:t>
      </w:r>
    </w:p>
    <w:p>
      <w:pPr>
        <w:pStyle w:val="Heading2"/>
        <w:spacing w:before="200" w:after="80"/>
      </w:pPr>
      <w:r>
        <w:rPr>
          <w:rFonts w:ascii="Arial" w:cs="Arial" w:eastAsia="Arial" w:hAnsi="Arial"/>
          <w:b/>
          <w:bCs/>
          <w:color w:val="1B2E4E"/>
          <w:sz w:val="24"/>
          <w:szCs w:val="24"/>
        </w:rPr>
        <w:t xml:space="preserve">Understanding TDIU</w:t>
      </w:r>
    </w:p>
    <w:p>
      <w:pPr>
        <w:spacing w:before="60" w:after="60"/>
      </w:pPr>
      <w:r>
        <w:rPr>
          <w:rFonts w:ascii="Arial" w:cs="Arial" w:eastAsia="Arial" w:hAnsi="Arial"/>
          <w:color w:val="1A1A1A"/>
          <w:sz w:val="20"/>
          <w:szCs w:val="20"/>
        </w:rPr>
        <w:t xml:space="preserve">TDIU pays at the 100% rate when service-connected conditions prevent a veteran from maintaining substantially gainful employment — even if their combined rating is below 100%.</w:t>
      </w:r>
    </w:p>
    <w:p>
      <w:pPr>
        <w:spacing w:before="80" w:after="80"/>
      </w:pPr>
    </w:p>
    <w:p>
      <w:pPr>
        <w:pStyle w:val="Heading2"/>
        <w:spacing w:before="200" w:after="80"/>
      </w:pPr>
      <w:r>
        <w:rPr>
          <w:rFonts w:ascii="Arial" w:cs="Arial" w:eastAsia="Arial" w:hAnsi="Arial"/>
          <w:b/>
          <w:bCs/>
          <w:color w:val="1B2E4E"/>
          <w:sz w:val="24"/>
          <w:szCs w:val="24"/>
        </w:rPr>
        <w:t xml:space="preserve">Three Pathways to TDIU</w:t>
      </w:r>
    </w:p>
    <w:p>
      <w:pPr>
        <w:spacing w:before="160" w:after="60"/>
      </w:pPr>
      <w:r>
        <w:rPr>
          <w:rFonts w:ascii="Arial" w:cs="Arial" w:eastAsia="Arial" w:hAnsi="Arial"/>
          <w:b/>
          <w:bCs/>
          <w:color w:val="7A5C00"/>
          <w:sz w:val="22"/>
          <w:szCs w:val="22"/>
        </w:rPr>
        <w:t xml:space="preserve">Pathway 1 — Schedular TDIU (38 CFR § 4.16(a)) — The 40/70 Rule</w:t>
      </w:r>
    </w:p>
    <w:p>
      <w:pPr>
        <w:pStyle w:val="ListParagraph"/>
        <w:numPr>
          <w:ilvl w:val="0"/>
          <w:numId w:val="2"/>
        </w:numPr>
        <w:spacing w:before="50" w:after="50"/>
      </w:pPr>
      <w:r>
        <w:rPr>
          <w:rFonts w:ascii="Arial" w:cs="Arial" w:eastAsia="Arial" w:hAnsi="Arial"/>
          <w:b w:val="false"/>
          <w:bCs w:val="false"/>
          <w:color w:val="1A1A1A"/>
          <w:sz w:val="20"/>
          <w:szCs w:val="20"/>
        </w:rPr>
        <w:t xml:space="preserve">One disability rated at 60%+ OR</w:t>
      </w:r>
    </w:p>
    <w:p>
      <w:pPr>
        <w:pStyle w:val="ListParagraph"/>
        <w:numPr>
          <w:ilvl w:val="0"/>
          <w:numId w:val="2"/>
        </w:numPr>
        <w:spacing w:before="50" w:after="50"/>
      </w:pPr>
      <w:r>
        <w:rPr>
          <w:rFonts w:ascii="Arial" w:cs="Arial" w:eastAsia="Arial" w:hAnsi="Arial"/>
          <w:b w:val="false"/>
          <w:bCs w:val="false"/>
          <w:color w:val="1A1A1A"/>
          <w:sz w:val="20"/>
          <w:szCs w:val="20"/>
        </w:rPr>
        <w:t xml:space="preserve">Combined rating of 70%+ with at least one disability at 40%+</w:t>
      </w:r>
    </w:p>
    <w:p>
      <w:pPr>
        <w:spacing w:before="60" w:after="80"/>
      </w:pPr>
    </w:p>
    <w:p>
      <w:pPr>
        <w:spacing w:before="160" w:after="60"/>
      </w:pPr>
      <w:r>
        <w:rPr>
          <w:rFonts w:ascii="Arial" w:cs="Arial" w:eastAsia="Arial" w:hAnsi="Arial"/>
          <w:b/>
          <w:bCs/>
          <w:color w:val="7A5C00"/>
          <w:sz w:val="22"/>
          <w:szCs w:val="22"/>
        </w:rPr>
        <w:t xml:space="preserve">Pathway 2 — Extraschedular TDIU (38 CFR § 4.16(b))</w:t>
      </w:r>
    </w:p>
    <w:p>
      <w:pPr>
        <w:spacing w:before="60" w:after="60"/>
      </w:pPr>
      <w:r>
        <w:rPr>
          <w:rFonts w:ascii="Arial" w:cs="Arial" w:eastAsia="Arial" w:hAnsi="Arial"/>
          <w:color w:val="1A1A1A"/>
          <w:sz w:val="20"/>
          <w:szCs w:val="20"/>
        </w:rPr>
        <w:t xml:space="preserve">Below the 40/70 threshold but still unable to maintain substantially gainful employment. Harder to win. Requires strong, specific evidence of functional inability to work.</w:t>
      </w:r>
    </w:p>
    <w:p>
      <w:pPr>
        <w:spacing w:before="60" w:after="80"/>
      </w:pPr>
    </w:p>
    <w:p>
      <w:pPr>
        <w:spacing w:before="160" w:after="60"/>
      </w:pPr>
      <w:r>
        <w:rPr>
          <w:rFonts w:ascii="Arial" w:cs="Arial" w:eastAsia="Arial" w:hAnsi="Arial"/>
          <w:b/>
          <w:bCs/>
          <w:color w:val="7A5C00"/>
          <w:sz w:val="22"/>
          <w:szCs w:val="22"/>
        </w:rPr>
        <w:t xml:space="preserve">Pathway 3 — Functional TDIU ("Simply Cannot Work")</w:t>
      </w:r>
    </w:p>
    <w:p>
      <w:pPr>
        <w:spacing w:before="60" w:after="60"/>
      </w:pPr>
      <w:r>
        <w:rPr>
          <w:rFonts w:ascii="Arial" w:cs="Arial" w:eastAsia="Arial" w:hAnsi="Arial"/>
          <w:color w:val="1A1A1A"/>
          <w:sz w:val="20"/>
          <w:szCs w:val="20"/>
        </w:rPr>
        <w:t xml:space="preserve">Regardless of ratings, the VA considers whether the veteran can realistically maintain employment based on:</w:t>
      </w:r>
    </w:p>
    <w:p>
      <w:pPr>
        <w:pStyle w:val="ListParagraph"/>
        <w:numPr>
          <w:ilvl w:val="0"/>
          <w:numId w:val="2"/>
        </w:numPr>
        <w:spacing w:before="50" w:after="50"/>
      </w:pPr>
      <w:r>
        <w:rPr>
          <w:rFonts w:ascii="Arial" w:cs="Arial" w:eastAsia="Arial" w:hAnsi="Arial"/>
          <w:b w:val="false"/>
          <w:bCs w:val="false"/>
          <w:color w:val="1A1A1A"/>
          <w:sz w:val="20"/>
          <w:szCs w:val="20"/>
        </w:rPr>
        <w:t xml:space="preserve">Reliability and attendance</w:t>
      </w:r>
    </w:p>
    <w:p>
      <w:pPr>
        <w:pStyle w:val="ListParagraph"/>
        <w:numPr>
          <w:ilvl w:val="0"/>
          <w:numId w:val="2"/>
        </w:numPr>
        <w:spacing w:before="50" w:after="50"/>
      </w:pPr>
      <w:r>
        <w:rPr>
          <w:rFonts w:ascii="Arial" w:cs="Arial" w:eastAsia="Arial" w:hAnsi="Arial"/>
          <w:b w:val="false"/>
          <w:bCs w:val="false"/>
          <w:color w:val="1A1A1A"/>
          <w:sz w:val="20"/>
          <w:szCs w:val="20"/>
        </w:rPr>
        <w:t xml:space="preserve">Productivity and pace</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to self and others</w:t>
      </w:r>
    </w:p>
    <w:p>
      <w:pPr>
        <w:pStyle w:val="ListParagraph"/>
        <w:numPr>
          <w:ilvl w:val="0"/>
          <w:numId w:val="2"/>
        </w:numPr>
        <w:spacing w:before="50" w:after="50"/>
      </w:pPr>
      <w:r>
        <w:rPr>
          <w:rFonts w:ascii="Arial" w:cs="Arial" w:eastAsia="Arial" w:hAnsi="Arial"/>
          <w:b w:val="false"/>
          <w:bCs w:val="false"/>
          <w:color w:val="1A1A1A"/>
          <w:sz w:val="20"/>
          <w:szCs w:val="20"/>
        </w:rPr>
        <w:t xml:space="preserve">Need for employer accommodations ("sheltered employment")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TDIU Reality Check: Even strong TDIU cases face challenges. Examiners may underestimate functional loss, treatment gaps may be misinterpreted, and employers rarely document accommodations. Evidence quality matters more than rating percentages alone.</w:t>
            </w:r>
          </w:p>
        </w:tc>
      </w:tr>
    </w:tbl>
    <w:p>
      <w:pPr>
        <w:spacing w:before="80" w:after="80"/>
      </w:pPr>
    </w:p>
    <w:p>
      <w:pPr>
        <w:pStyle w:val="Heading2"/>
        <w:spacing w:before="200" w:after="80"/>
      </w:pPr>
      <w:r>
        <w:rPr>
          <w:rFonts w:ascii="Arial" w:cs="Arial" w:eastAsia="Arial" w:hAnsi="Arial"/>
          <w:b/>
          <w:bCs/>
          <w:color w:val="1B2E4E"/>
          <w:sz w:val="24"/>
          <w:szCs w:val="24"/>
        </w:rPr>
        <w:t xml:space="preserve">TDIU Evidence Checklist</w:t>
      </w:r>
    </w:p>
    <w:p>
      <w:pPr>
        <w:spacing w:before="60" w:after="60"/>
      </w:pPr>
      <w:r>
        <w:rPr>
          <w:rFonts w:ascii="Arial" w:cs="Arial" w:eastAsia="Arial" w:hAnsi="Arial"/>
          <w:color w:val="1A1A1A"/>
          <w:sz w:val="20"/>
          <w:szCs w:val="20"/>
        </w:rPr>
        <w:t xml:space="preserve">Scan for and flag any of the following:</w:t>
      </w:r>
    </w:p>
    <w:p>
      <w:pPr>
        <w:pStyle w:val="ListParagraph"/>
        <w:numPr>
          <w:ilvl w:val="0"/>
          <w:numId w:val="2"/>
        </w:numPr>
        <w:spacing w:before="50" w:after="50"/>
      </w:pPr>
      <w:r>
        <w:rPr>
          <w:rFonts w:ascii="Arial" w:cs="Arial" w:eastAsia="Arial" w:hAnsi="Arial"/>
          <w:b w:val="false"/>
          <w:bCs w:val="false"/>
          <w:color w:val="1A1A1A"/>
          <w:sz w:val="20"/>
          <w:szCs w:val="20"/>
        </w:rPr>
        <w:t xml:space="preserve">Work limitation notes in medical records</w:t>
      </w:r>
    </w:p>
    <w:p>
      <w:pPr>
        <w:pStyle w:val="ListParagraph"/>
        <w:numPr>
          <w:ilvl w:val="0"/>
          <w:numId w:val="2"/>
        </w:numPr>
        <w:spacing w:before="50" w:after="50"/>
      </w:pPr>
      <w:r>
        <w:rPr>
          <w:rFonts w:ascii="Arial" w:cs="Arial" w:eastAsia="Arial" w:hAnsi="Arial"/>
          <w:b w:val="false"/>
          <w:bCs w:val="false"/>
          <w:color w:val="1A1A1A"/>
          <w:sz w:val="20"/>
          <w:szCs w:val="20"/>
        </w:rPr>
        <w:t xml:space="preserve">Attendance issues or frequent absences documented anywhere</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concerns related to service-connected conditions</w:t>
      </w:r>
    </w:p>
    <w:p>
      <w:pPr>
        <w:pStyle w:val="ListParagraph"/>
        <w:numPr>
          <w:ilvl w:val="0"/>
          <w:numId w:val="2"/>
        </w:numPr>
        <w:spacing w:before="50" w:after="50"/>
      </w:pPr>
      <w:r>
        <w:rPr>
          <w:rFonts w:ascii="Arial" w:cs="Arial" w:eastAsia="Arial" w:hAnsi="Arial"/>
          <w:b w:val="false"/>
          <w:bCs w:val="false"/>
          <w:color w:val="1A1A1A"/>
          <w:sz w:val="20"/>
          <w:szCs w:val="20"/>
        </w:rPr>
        <w:t xml:space="preserve">Employer accommodations — formal or informal</w:t>
      </w:r>
    </w:p>
    <w:p>
      <w:pPr>
        <w:pStyle w:val="ListParagraph"/>
        <w:numPr>
          <w:ilvl w:val="0"/>
          <w:numId w:val="2"/>
        </w:numPr>
        <w:spacing w:before="50" w:after="50"/>
      </w:pPr>
      <w:r>
        <w:rPr>
          <w:rFonts w:ascii="Arial" w:cs="Arial" w:eastAsia="Arial" w:hAnsi="Arial"/>
          <w:b w:val="false"/>
          <w:bCs w:val="false"/>
          <w:color w:val="1A1A1A"/>
          <w:sz w:val="20"/>
          <w:szCs w:val="20"/>
        </w:rPr>
        <w:t xml:space="preserve">Vocational rehabilitation records</w:t>
      </w:r>
    </w:p>
    <w:p>
      <w:pPr>
        <w:pStyle w:val="ListParagraph"/>
        <w:numPr>
          <w:ilvl w:val="0"/>
          <w:numId w:val="2"/>
        </w:numPr>
        <w:spacing w:before="50" w:after="50"/>
      </w:pPr>
      <w:r>
        <w:rPr>
          <w:rFonts w:ascii="Arial" w:cs="Arial" w:eastAsia="Arial" w:hAnsi="Arial"/>
          <w:b w:val="false"/>
          <w:bCs w:val="false"/>
          <w:color w:val="1A1A1A"/>
          <w:sz w:val="20"/>
          <w:szCs w:val="20"/>
        </w:rPr>
        <w:t xml:space="preserve">Social Security Administration (SSA) disability records — these carry significant weight with VA</w:t>
      </w:r>
    </w:p>
    <w:p>
      <w:pPr>
        <w:pStyle w:val="ListParagraph"/>
        <w:numPr>
          <w:ilvl w:val="0"/>
          <w:numId w:val="2"/>
        </w:numPr>
        <w:spacing w:before="50" w:after="50"/>
      </w:pPr>
      <w:r>
        <w:rPr>
          <w:rFonts w:ascii="Arial" w:cs="Arial" w:eastAsia="Arial" w:hAnsi="Arial"/>
          <w:b w:val="false"/>
          <w:bCs w:val="false"/>
          <w:color w:val="1A1A1A"/>
          <w:sz w:val="20"/>
          <w:szCs w:val="20"/>
        </w:rPr>
        <w:t xml:space="preserve">Lay statements from spouse, coworkers, or supervisors describing functional limitations</w:t>
      </w:r>
    </w:p>
    <w:p>
      <w:pPr>
        <w:pStyle w:val="ListParagraph"/>
        <w:numPr>
          <w:ilvl w:val="0"/>
          <w:numId w:val="2"/>
        </w:numPr>
        <w:spacing w:before="50" w:after="50"/>
      </w:pPr>
      <w:r>
        <w:rPr>
          <w:rFonts w:ascii="Arial" w:cs="Arial" w:eastAsia="Arial" w:hAnsi="Arial"/>
          <w:b w:val="false"/>
          <w:bCs w:val="false"/>
          <w:color w:val="1A1A1A"/>
          <w:sz w:val="20"/>
          <w:szCs w:val="20"/>
        </w:rPr>
        <w:t xml:space="preserve">Unemployment history or references to disability retirement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TDIU FLAG: If threshold is met or close — this veteran may qualify for TDIU, which pays at the 100% rate regardless of combined rating. Discuss with a VSO or attorney immediately.</w:t>
            </w:r>
          </w:p>
        </w:tc>
      </w:tr>
    </w:tbl>
    <w:p>
      <w:pPr>
        <w:pBdr>
          <w:bottom w:val="single" w:color="1B2E4E" w:sz="6" w:space="1"/>
        </w:pBdr>
        <w:spacing w:before="140" w:after="140"/>
      </w:pP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13 — Buddy Statement Generator</w:t>
      </w:r>
    </w:p>
    <w:p>
      <w:pPr>
        <w:spacing w:before="60" w:after="60"/>
      </w:pPr>
      <w:r>
        <w:rPr>
          <w:rFonts w:ascii="Arial" w:cs="Arial" w:eastAsia="Arial" w:hAnsi="Arial"/>
          <w:color w:val="1A1A1A"/>
          <w:sz w:val="20"/>
          <w:szCs w:val="20"/>
        </w:rPr>
        <w:t xml:space="preserve">Buddy statements are legally recognized lay evidence under 38 CFR § 3.303 and Jandreau v. Nicholson. They are one of the most underused and most powerful tools available to veterans.</w:t>
      </w:r>
    </w:p>
    <w:p>
      <w:pPr>
        <w:spacing w:before="40" w:after="80"/>
      </w:pPr>
    </w:p>
    <w:p>
      <w:pPr>
        <w:spacing w:before="60" w:after="60"/>
      </w:pPr>
      <w:r>
        <w:rPr>
          <w:rFonts w:ascii="Arial" w:cs="Arial" w:eastAsia="Arial" w:hAnsi="Arial"/>
          <w:color w:val="1A1A1A"/>
          <w:sz w:val="20"/>
          <w:szCs w:val="20"/>
        </w:rPr>
        <w:t xml:space="preserve">Activated by: "Claim Scout, write a buddy statement." or plain English request.</w:t>
      </w:r>
    </w:p>
    <w:p>
      <w:pPr>
        <w:spacing w:before="80" w:after="80"/>
      </w:pPr>
    </w:p>
    <w:p>
      <w:pPr>
        <w:pStyle w:val="Heading2"/>
        <w:spacing w:before="200" w:after="80"/>
      </w:pPr>
      <w:r>
        <w:rPr>
          <w:rFonts w:ascii="Arial" w:cs="Arial" w:eastAsia="Arial" w:hAnsi="Arial"/>
          <w:b/>
          <w:bCs/>
          <w:color w:val="1B2E4E"/>
          <w:sz w:val="24"/>
          <w:szCs w:val="24"/>
        </w:rPr>
        <w:t xml:space="preserve">Who Can Write a Buddy Statement</w:t>
      </w:r>
    </w:p>
    <w:p>
      <w:pPr>
        <w:spacing w:before="60" w:after="60"/>
      </w:pPr>
      <w:r>
        <w:rPr>
          <w:rFonts w:ascii="Arial" w:cs="Arial" w:eastAsia="Arial" w:hAnsi="Arial"/>
          <w:color w:val="1A1A1A"/>
          <w:sz w:val="20"/>
          <w:szCs w:val="20"/>
        </w:rPr>
        <w:t xml:space="preserve">Anyone who has personally observed the veteran's condition, symptoms, or in-service events:</w:t>
      </w:r>
    </w:p>
    <w:p>
      <w:pPr>
        <w:pStyle w:val="ListParagraph"/>
        <w:numPr>
          <w:ilvl w:val="0"/>
          <w:numId w:val="2"/>
        </w:numPr>
        <w:spacing w:before="50" w:after="50"/>
      </w:pPr>
      <w:r>
        <w:rPr>
          <w:rFonts w:ascii="Arial" w:cs="Arial" w:eastAsia="Arial" w:hAnsi="Arial"/>
          <w:b w:val="false"/>
          <w:bCs w:val="false"/>
          <w:color w:val="1A1A1A"/>
          <w:sz w:val="20"/>
          <w:szCs w:val="20"/>
        </w:rPr>
        <w:t xml:space="preserve">Spouse or partner</w:t>
      </w:r>
    </w:p>
    <w:p>
      <w:pPr>
        <w:pStyle w:val="ListParagraph"/>
        <w:numPr>
          <w:ilvl w:val="0"/>
          <w:numId w:val="2"/>
        </w:numPr>
        <w:spacing w:before="50" w:after="50"/>
      </w:pPr>
      <w:r>
        <w:rPr>
          <w:rFonts w:ascii="Arial" w:cs="Arial" w:eastAsia="Arial" w:hAnsi="Arial"/>
          <w:b w:val="false"/>
          <w:bCs w:val="false"/>
          <w:color w:val="1A1A1A"/>
          <w:sz w:val="20"/>
          <w:szCs w:val="20"/>
        </w:rPr>
        <w:t xml:space="preserve">Family members</w:t>
      </w:r>
    </w:p>
    <w:p>
      <w:pPr>
        <w:pStyle w:val="ListParagraph"/>
        <w:numPr>
          <w:ilvl w:val="0"/>
          <w:numId w:val="2"/>
        </w:numPr>
        <w:spacing w:before="50" w:after="50"/>
      </w:pPr>
      <w:r>
        <w:rPr>
          <w:rFonts w:ascii="Arial" w:cs="Arial" w:eastAsia="Arial" w:hAnsi="Arial"/>
          <w:b w:val="false"/>
          <w:bCs w:val="false"/>
          <w:color w:val="1A1A1A"/>
          <w:sz w:val="20"/>
          <w:szCs w:val="20"/>
        </w:rPr>
        <w:t xml:space="preserve">Fellow service members</w:t>
      </w:r>
    </w:p>
    <w:p>
      <w:pPr>
        <w:pStyle w:val="ListParagraph"/>
        <w:numPr>
          <w:ilvl w:val="0"/>
          <w:numId w:val="2"/>
        </w:numPr>
        <w:spacing w:before="50" w:after="50"/>
      </w:pPr>
      <w:r>
        <w:rPr>
          <w:rFonts w:ascii="Arial" w:cs="Arial" w:eastAsia="Arial" w:hAnsi="Arial"/>
          <w:b w:val="false"/>
          <w:bCs w:val="false"/>
          <w:color w:val="1A1A1A"/>
          <w:sz w:val="20"/>
          <w:szCs w:val="20"/>
        </w:rPr>
        <w:t xml:space="preserve">Coworkers or supervisors</w:t>
      </w:r>
    </w:p>
    <w:p>
      <w:pPr>
        <w:pStyle w:val="ListParagraph"/>
        <w:numPr>
          <w:ilvl w:val="0"/>
          <w:numId w:val="2"/>
        </w:numPr>
        <w:spacing w:before="50" w:after="50"/>
      </w:pPr>
      <w:r>
        <w:rPr>
          <w:rFonts w:ascii="Arial" w:cs="Arial" w:eastAsia="Arial" w:hAnsi="Arial"/>
          <w:b w:val="false"/>
          <w:bCs w:val="false"/>
          <w:color w:val="1A1A1A"/>
          <w:sz w:val="20"/>
          <w:szCs w:val="20"/>
        </w:rPr>
        <w:t xml:space="preserve">Friends or neighbors</w:t>
      </w:r>
    </w:p>
    <w:p>
      <w:pPr>
        <w:spacing w:before="80" w:after="80"/>
      </w:pPr>
    </w:p>
    <w:p>
      <w:pPr>
        <w:pStyle w:val="Heading2"/>
        <w:spacing w:before="200" w:after="80"/>
      </w:pPr>
      <w:r>
        <w:rPr>
          <w:rFonts w:ascii="Arial" w:cs="Arial" w:eastAsia="Arial" w:hAnsi="Arial"/>
          <w:b/>
          <w:bCs/>
          <w:color w:val="1B2E4E"/>
          <w:sz w:val="24"/>
          <w:szCs w:val="24"/>
        </w:rPr>
        <w:t xml:space="preserve">What Makes a Buddy Statement Strong</w:t>
      </w:r>
    </w:p>
    <w:p>
      <w:pPr>
        <w:pStyle w:val="ListParagraph"/>
        <w:numPr>
          <w:ilvl w:val="0"/>
          <w:numId w:val="2"/>
        </w:numPr>
        <w:spacing w:before="50" w:after="50"/>
      </w:pPr>
      <w:r>
        <w:rPr>
          <w:rFonts w:ascii="Arial" w:cs="Arial" w:eastAsia="Arial" w:hAnsi="Arial"/>
          <w:b w:val="false"/>
          <w:bCs w:val="false"/>
          <w:color w:val="1A1A1A"/>
          <w:sz w:val="20"/>
          <w:szCs w:val="20"/>
        </w:rPr>
        <w:t xml:space="preserve">Describes observable symptoms — not medical diagnoses. The writer says what they saw, heard, or witnessed. They do not diagnose.</w:t>
      </w:r>
    </w:p>
    <w:p>
      <w:pPr>
        <w:pStyle w:val="ListParagraph"/>
        <w:numPr>
          <w:ilvl w:val="0"/>
          <w:numId w:val="2"/>
        </w:numPr>
        <w:spacing w:before="50" w:after="50"/>
      </w:pPr>
      <w:r>
        <w:rPr>
          <w:rFonts w:ascii="Arial" w:cs="Arial" w:eastAsia="Arial" w:hAnsi="Arial"/>
          <w:b w:val="false"/>
          <w:bCs w:val="false"/>
          <w:color w:val="1A1A1A"/>
          <w:sz w:val="20"/>
          <w:szCs w:val="20"/>
        </w:rPr>
        <w:t xml:space="preserve">Includes specific examples — dates, frequency, and circumstances are stronger than general statements.</w:t>
      </w:r>
    </w:p>
    <w:p>
      <w:pPr>
        <w:pStyle w:val="ListParagraph"/>
        <w:numPr>
          <w:ilvl w:val="0"/>
          <w:numId w:val="2"/>
        </w:numPr>
        <w:spacing w:before="50" w:after="50"/>
      </w:pPr>
      <w:r>
        <w:rPr>
          <w:rFonts w:ascii="Arial" w:cs="Arial" w:eastAsia="Arial" w:hAnsi="Arial"/>
          <w:b w:val="false"/>
          <w:bCs w:val="false"/>
          <w:color w:val="1A1A1A"/>
          <w:sz w:val="20"/>
          <w:szCs w:val="20"/>
        </w:rPr>
        <w:t xml:space="preserve">Describes functional impact — what the veteran cannot do, or does differently, because of the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Uses plain language — no legal or medical jargon required.</w:t>
      </w:r>
    </w:p>
    <w:p>
      <w:pPr>
        <w:spacing w:before="80" w:after="80"/>
      </w:pPr>
    </w:p>
    <w:p>
      <w:pPr>
        <w:pStyle w:val="Heading2"/>
        <w:spacing w:before="200" w:after="80"/>
      </w:pPr>
      <w:r>
        <w:rPr>
          <w:rFonts w:ascii="Arial" w:cs="Arial" w:eastAsia="Arial" w:hAnsi="Arial"/>
          <w:b/>
          <w:bCs/>
          <w:color w:val="1B2E4E"/>
          <w:sz w:val="24"/>
          <w:szCs w:val="24"/>
        </w:rPr>
        <w:t xml:space="preserve">Buddy Statement Template (VA Form 21-10210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50"/>
            </w:pPr>
            <w:r>
              <w:rPr>
                <w:rFonts w:ascii="Arial" w:cs="Arial" w:eastAsia="Arial" w:hAnsi="Arial"/>
                <w:b/>
                <w:bCs/>
                <w:color w:val="1B2E4E"/>
                <w:sz w:val="19"/>
                <w:szCs w:val="19"/>
              </w:rPr>
              <w:t xml:space="preserve">1.  Who I Am</w:t>
            </w:r>
          </w:p>
          <w:p>
            <w:pPr>
              <w:spacing w:before="40" w:after="40"/>
            </w:pPr>
            <w:r>
              <w:rPr>
                <w:rFonts w:ascii="Arial" w:cs="Arial" w:eastAsia="Arial" w:hAnsi="Arial"/>
                <w:i/>
                <w:iCs/>
                <w:color w:val="1A1A1A"/>
                <w:sz w:val="19"/>
                <w:szCs w:val="19"/>
              </w:rPr>
              <w:t xml:space="preserve">"My name is [Full Name]. I am the [relationship] of [Veteran's Name]."</w:t>
            </w:r>
          </w:p>
          <w:p>
            <w:pPr>
              <w:spacing w:before="30" w:after="0"/>
            </w:pPr>
          </w:p>
          <w:p>
            <w:pPr>
              <w:spacing w:before="0" w:after="50"/>
            </w:pPr>
            <w:r>
              <w:rPr>
                <w:rFonts w:ascii="Arial" w:cs="Arial" w:eastAsia="Arial" w:hAnsi="Arial"/>
                <w:b/>
                <w:bCs/>
                <w:color w:val="1B2E4E"/>
                <w:sz w:val="19"/>
                <w:szCs w:val="19"/>
              </w:rPr>
              <w:t xml:space="preserve">2.  How I Know the Veteran</w:t>
            </w:r>
          </w:p>
          <w:p>
            <w:pPr>
              <w:spacing w:before="40" w:after="40"/>
            </w:pPr>
            <w:r>
              <w:rPr>
                <w:rFonts w:ascii="Arial" w:cs="Arial" w:eastAsia="Arial" w:hAnsi="Arial"/>
                <w:i/>
                <w:iCs/>
                <w:color w:val="1A1A1A"/>
                <w:sz w:val="19"/>
                <w:szCs w:val="19"/>
              </w:rPr>
              <w:t xml:space="preserve">"I have known [Veteran's Name] for [X years / since date], and I [describe relationship]."</w:t>
            </w:r>
          </w:p>
          <w:p>
            <w:pPr>
              <w:spacing w:before="30" w:after="0"/>
            </w:pPr>
          </w:p>
          <w:p>
            <w:pPr>
              <w:spacing w:before="0" w:after="50"/>
            </w:pPr>
            <w:r>
              <w:rPr>
                <w:rFonts w:ascii="Arial" w:cs="Arial" w:eastAsia="Arial" w:hAnsi="Arial"/>
                <w:b/>
                <w:bCs/>
                <w:color w:val="1B2E4E"/>
                <w:sz w:val="19"/>
                <w:szCs w:val="19"/>
              </w:rPr>
              <w:t xml:space="preserve">3.  What I Have Personally Observed</w:t>
            </w:r>
          </w:p>
          <w:p>
            <w:pPr>
              <w:spacing w:before="40" w:after="40"/>
            </w:pPr>
            <w:r>
              <w:rPr>
                <w:rFonts w:ascii="Arial" w:cs="Arial" w:eastAsia="Arial" w:hAnsi="Arial"/>
                <w:i/>
                <w:iCs/>
                <w:color w:val="1A1A1A"/>
                <w:sz w:val="19"/>
                <w:szCs w:val="19"/>
              </w:rPr>
              <w:t xml:space="preserve">"I have personally observed that [Veteran's Name] [describe specific symptoms, behaviors, or limitations]."</w:t>
            </w:r>
          </w:p>
          <w:p>
            <w:pPr>
              <w:spacing w:before="30" w:after="0"/>
            </w:pPr>
          </w:p>
          <w:p>
            <w:pPr>
              <w:spacing w:before="0" w:after="50"/>
            </w:pPr>
            <w:r>
              <w:rPr>
                <w:rFonts w:ascii="Arial" w:cs="Arial" w:eastAsia="Arial" w:hAnsi="Arial"/>
                <w:b/>
                <w:bCs/>
                <w:color w:val="1B2E4E"/>
                <w:sz w:val="19"/>
                <w:szCs w:val="19"/>
              </w:rPr>
              <w:t xml:space="preserve">4.  Specific Examples</w:t>
            </w:r>
          </w:p>
          <w:p>
            <w:pPr>
              <w:spacing w:before="40" w:after="40"/>
            </w:pPr>
            <w:r>
              <w:rPr>
                <w:rFonts w:ascii="Arial" w:cs="Arial" w:eastAsia="Arial" w:hAnsi="Arial"/>
                <w:i/>
                <w:iCs/>
                <w:color w:val="1A1A1A"/>
                <w:sz w:val="19"/>
                <w:szCs w:val="19"/>
              </w:rPr>
              <w:t xml:space="preserve">"For example, on [date or approximate timeframe], I witnessed [specific incident or pattern]."</w:t>
            </w:r>
          </w:p>
          <w:p>
            <w:pPr>
              <w:spacing w:before="30" w:after="0"/>
            </w:pPr>
          </w:p>
          <w:p>
            <w:pPr>
              <w:spacing w:before="0" w:after="50"/>
            </w:pPr>
            <w:r>
              <w:rPr>
                <w:rFonts w:ascii="Arial" w:cs="Arial" w:eastAsia="Arial" w:hAnsi="Arial"/>
                <w:b/>
                <w:bCs/>
                <w:color w:val="1B2E4E"/>
                <w:sz w:val="19"/>
                <w:szCs w:val="19"/>
              </w:rPr>
              <w:t xml:space="preserve">5.  How It Affects the Veteran</w:t>
            </w:r>
          </w:p>
          <w:p>
            <w:pPr>
              <w:spacing w:before="40" w:after="40"/>
            </w:pPr>
            <w:r>
              <w:rPr>
                <w:rFonts w:ascii="Arial" w:cs="Arial" w:eastAsia="Arial" w:hAnsi="Arial"/>
                <w:i/>
                <w:iCs/>
                <w:color w:val="1A1A1A"/>
                <w:sz w:val="19"/>
                <w:szCs w:val="19"/>
              </w:rPr>
              <w:t xml:space="preserve">"Because of these symptoms, [Veteran's Name] is unable to [describe specific functional limitations]."</w:t>
            </w:r>
          </w:p>
          <w:p>
            <w:pPr>
              <w:spacing w:before="30" w:after="0"/>
            </w:pPr>
          </w:p>
          <w:p>
            <w:pPr>
              <w:spacing w:before="0" w:after="50"/>
            </w:pPr>
            <w:r>
              <w:rPr>
                <w:rFonts w:ascii="Arial" w:cs="Arial" w:eastAsia="Arial" w:hAnsi="Arial"/>
                <w:b/>
                <w:bCs/>
                <w:color w:val="1B2E4E"/>
                <w:sz w:val="19"/>
                <w:szCs w:val="19"/>
              </w:rPr>
              <w:t xml:space="preserve">6.  Closing</w:t>
            </w:r>
          </w:p>
          <w:p>
            <w:pPr>
              <w:spacing w:before="40" w:after="40"/>
            </w:pPr>
            <w:r>
              <w:rPr>
                <w:rFonts w:ascii="Arial" w:cs="Arial" w:eastAsia="Arial" w:hAnsi="Arial"/>
                <w:i/>
                <w:iCs/>
                <w:color w:val="1A1A1A"/>
                <w:sz w:val="19"/>
                <w:szCs w:val="19"/>
              </w:rPr>
              <w:t xml:space="preserve">"I am providing this statement voluntarily and to the best of my knowledge and belief. I understand this statement may be used in support of a VA disability claim."</w:t>
            </w:r>
          </w:p>
          <w:p>
            <w:pPr>
              <w:spacing w:before="30" w:after="0"/>
            </w:pPr>
          </w:p>
          <w:p>
            <w:pPr>
              <w:spacing w:before="0" w:after="20"/>
            </w:pPr>
            <w:r>
              <w:rPr>
                <w:rFonts w:ascii="Arial" w:cs="Arial" w:eastAsia="Arial" w:hAnsi="Arial"/>
                <w:color w:val="1A1A1A"/>
                <w:sz w:val="19"/>
                <w:szCs w:val="19"/>
              </w:rPr>
              <w:t xml:space="preserve">Signature: ___________________     Date: ___________________</w:t>
            </w:r>
          </w:p>
          <w:p>
            <w:pPr>
              <w:spacing w:before="0" w:after="0"/>
            </w:pPr>
            <w:r>
              <w:rPr>
                <w:rFonts w:ascii="Arial" w:cs="Arial" w:eastAsia="Arial" w:hAnsi="Arial"/>
                <w:color w:val="1A1A1A"/>
                <w:sz w:val="19"/>
                <w:szCs w:val="19"/>
              </w:rPr>
              <w:t xml:space="preserve">Printed Name: ___________________     Relationship to Veteran: ___________________</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Buddy statements describe what was observed — not what was diagnosed. The writer should never state a medical opinion. That is for doctors. Submit as VA Form 21-10210 or attach directly to the claim file.</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14 — Impact Statement Generator</w:t>
      </w:r>
    </w:p>
    <w:p>
      <w:pPr>
        <w:spacing w:before="60" w:after="60"/>
      </w:pPr>
      <w:r>
        <w:rPr>
          <w:rFonts w:ascii="Arial" w:cs="Arial" w:eastAsia="Arial" w:hAnsi="Arial"/>
          <w:color w:val="1A1A1A"/>
          <w:sz w:val="20"/>
          <w:szCs w:val="20"/>
        </w:rPr>
        <w:t xml:space="preserve">Impact statements are lay evidence that document how service-connected conditions affect a veteran's daily life. They are central to CFR functional ratings and are routinely underused.</w:t>
      </w:r>
    </w:p>
    <w:p>
      <w:pPr>
        <w:spacing w:before="40" w:after="80"/>
      </w:pPr>
    </w:p>
    <w:p>
      <w:pPr>
        <w:spacing w:before="60" w:after="60"/>
      </w:pPr>
      <w:r>
        <w:rPr>
          <w:rFonts w:ascii="Arial" w:cs="Arial" w:eastAsia="Arial" w:hAnsi="Arial"/>
          <w:color w:val="1A1A1A"/>
          <w:sz w:val="20"/>
          <w:szCs w:val="20"/>
        </w:rPr>
        <w:t xml:space="preserve">Activated by: "Claim Scout, write an impact statement." or plain English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VA ratings are based on functional loss — not just diagnosis. An impact statement gives the examiner a concrete picture of how the veteran's life is actually affected, which directly influences the rating level assigned. Describe worst-day symptoms, not average days.</w:t>
            </w:r>
          </w:p>
        </w:tc>
      </w:tr>
    </w:tbl>
    <w:p>
      <w:pPr>
        <w:spacing w:before="80" w:after="80"/>
      </w:pPr>
    </w:p>
    <w:p>
      <w:pPr>
        <w:pStyle w:val="Heading2"/>
        <w:spacing w:before="200" w:after="80"/>
      </w:pPr>
      <w:r>
        <w:rPr>
          <w:rFonts w:ascii="Arial" w:cs="Arial" w:eastAsia="Arial" w:hAnsi="Arial"/>
          <w:b/>
          <w:bCs/>
          <w:color w:val="1B2E4E"/>
          <w:sz w:val="24"/>
          <w:szCs w:val="24"/>
        </w:rPr>
        <w:t xml:space="preserve">1. Work Life</w:t>
      </w:r>
    </w:p>
    <w:p>
      <w:pPr>
        <w:spacing w:before="60" w:after="60"/>
      </w:pPr>
      <w:r>
        <w:rPr>
          <w:rFonts w:ascii="Arial" w:cs="Arial" w:eastAsia="Arial" w:hAnsi="Arial"/>
          <w:color w:val="1A1A1A"/>
          <w:sz w:val="20"/>
          <w:szCs w:val="20"/>
        </w:rPr>
        <w:t xml:space="preserve">Describe how conditions affect the ability to maintain employment:</w:t>
      </w:r>
    </w:p>
    <w:p>
      <w:pPr>
        <w:pStyle w:val="ListParagraph"/>
        <w:numPr>
          <w:ilvl w:val="0"/>
          <w:numId w:val="2"/>
        </w:numPr>
        <w:spacing w:before="50" w:after="50"/>
      </w:pPr>
      <w:r>
        <w:rPr>
          <w:rFonts w:ascii="Arial" w:cs="Arial" w:eastAsia="Arial" w:hAnsi="Arial"/>
          <w:b w:val="false"/>
          <w:bCs w:val="false"/>
          <w:color w:val="1A1A1A"/>
          <w:sz w:val="20"/>
          <w:szCs w:val="20"/>
        </w:rPr>
        <w:t xml:space="preserve">Attendance — missed work, late arrivals, or early departures due to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Reliability — unpredictable flare-ups that make consistent performance difficult</w:t>
      </w:r>
    </w:p>
    <w:p>
      <w:pPr>
        <w:pStyle w:val="ListParagraph"/>
        <w:numPr>
          <w:ilvl w:val="0"/>
          <w:numId w:val="2"/>
        </w:numPr>
        <w:spacing w:before="50" w:after="50"/>
      </w:pPr>
      <w:r>
        <w:rPr>
          <w:rFonts w:ascii="Arial" w:cs="Arial" w:eastAsia="Arial" w:hAnsi="Arial"/>
          <w:b w:val="false"/>
          <w:bCs w:val="false"/>
          <w:color w:val="1A1A1A"/>
          <w:sz w:val="20"/>
          <w:szCs w:val="20"/>
        </w:rPr>
        <w:t xml:space="preserve">Productivity — effects on concentration, pace, or output</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 safety risks for the veteran or others</w:t>
      </w:r>
    </w:p>
    <w:p>
      <w:pPr>
        <w:pStyle w:val="ListParagraph"/>
        <w:numPr>
          <w:ilvl w:val="0"/>
          <w:numId w:val="2"/>
        </w:numPr>
        <w:spacing w:before="50" w:after="50"/>
      </w:pPr>
      <w:r>
        <w:rPr>
          <w:rFonts w:ascii="Arial" w:cs="Arial" w:eastAsia="Arial" w:hAnsi="Arial"/>
          <w:b w:val="false"/>
          <w:bCs w:val="false"/>
          <w:color w:val="1A1A1A"/>
          <w:sz w:val="20"/>
          <w:szCs w:val="20"/>
        </w:rPr>
        <w:t xml:space="preserve">Physical demands — ability to lift, stand, sit, walk, reach, or concentrate</w:t>
      </w:r>
    </w:p>
    <w:p>
      <w:pPr>
        <w:pStyle w:val="ListParagraph"/>
        <w:numPr>
          <w:ilvl w:val="0"/>
          <w:numId w:val="2"/>
        </w:numPr>
        <w:spacing w:before="50" w:after="50"/>
      </w:pPr>
      <w:r>
        <w:rPr>
          <w:rFonts w:ascii="Arial" w:cs="Arial" w:eastAsia="Arial" w:hAnsi="Arial"/>
          <w:b w:val="false"/>
          <w:bCs w:val="false"/>
          <w:color w:val="1A1A1A"/>
          <w:sz w:val="20"/>
          <w:szCs w:val="20"/>
        </w:rPr>
        <w:t xml:space="preserve">Accommodations — special equipment, schedule changes, or reduced duties</w:t>
      </w:r>
    </w:p>
    <w:p>
      <w:pPr>
        <w:pStyle w:val="ListParagraph"/>
        <w:numPr>
          <w:ilvl w:val="0"/>
          <w:numId w:val="2"/>
        </w:numPr>
        <w:spacing w:before="50" w:after="50"/>
      </w:pPr>
      <w:r>
        <w:rPr>
          <w:rFonts w:ascii="Arial" w:cs="Arial" w:eastAsia="Arial" w:hAnsi="Arial"/>
          <w:b w:val="false"/>
          <w:bCs w:val="false"/>
          <w:color w:val="1A1A1A"/>
          <w:sz w:val="20"/>
          <w:szCs w:val="20"/>
        </w:rPr>
        <w:t xml:space="preserve">Career impact — missed promotions, job changes, reduced hours, or inability to pursue certain work</w:t>
      </w:r>
    </w:p>
    <w:p>
      <w:pPr>
        <w:spacing w:before="50" w:after="80"/>
      </w:pPr>
    </w:p>
    <w:p>
      <w:pPr>
        <w:spacing w:before="40" w:after="40"/>
      </w:pPr>
      <w:r>
        <w:rPr>
          <w:rFonts w:ascii="Arial" w:cs="Arial" w:eastAsia="Arial" w:hAnsi="Arial"/>
          <w:i/>
          <w:iCs/>
          <w:color w:val="1A1A1A"/>
          <w:sz w:val="19"/>
          <w:szCs w:val="19"/>
        </w:rPr>
        <w:t xml:space="preserve">Example: "Because of my back condition, I cannot sit for more than 20 minutes without severe pain. I have had to leave work early multiple times in the past month and have been passed over for a promotion that required travel."</w:t>
      </w:r>
    </w:p>
    <w:p>
      <w:pPr>
        <w:spacing w:before="80" w:after="80"/>
      </w:pPr>
    </w:p>
    <w:p>
      <w:pPr>
        <w:pStyle w:val="Heading2"/>
        <w:spacing w:before="200" w:after="80"/>
      </w:pPr>
      <w:r>
        <w:rPr>
          <w:rFonts w:ascii="Arial" w:cs="Arial" w:eastAsia="Arial" w:hAnsi="Arial"/>
          <w:b/>
          <w:bCs/>
          <w:color w:val="1B2E4E"/>
          <w:sz w:val="24"/>
          <w:szCs w:val="24"/>
        </w:rPr>
        <w:t xml:space="preserve">2. Social Life</w:t>
      </w:r>
    </w:p>
    <w:p>
      <w:pPr>
        <w:spacing w:before="60" w:after="60"/>
      </w:pPr>
      <w:r>
        <w:rPr>
          <w:rFonts w:ascii="Arial" w:cs="Arial" w:eastAsia="Arial" w:hAnsi="Arial"/>
          <w:color w:val="1A1A1A"/>
          <w:sz w:val="20"/>
          <w:szCs w:val="20"/>
        </w:rPr>
        <w:t xml:space="preserve">Describe how conditions affect relationships and participation outside the home:</w:t>
      </w:r>
    </w:p>
    <w:p>
      <w:pPr>
        <w:pStyle w:val="ListParagraph"/>
        <w:numPr>
          <w:ilvl w:val="0"/>
          <w:numId w:val="2"/>
        </w:numPr>
        <w:spacing w:before="50" w:after="50"/>
      </w:pPr>
      <w:r>
        <w:rPr>
          <w:rFonts w:ascii="Arial" w:cs="Arial" w:eastAsia="Arial" w:hAnsi="Arial"/>
          <w:b w:val="false"/>
          <w:bCs w:val="false"/>
          <w:color w:val="1A1A1A"/>
          <w:sz w:val="20"/>
          <w:szCs w:val="20"/>
        </w:rPr>
        <w:t xml:space="preserve">Avoidance of social situations due to pain, anxiety, or unpredictability of symptoms</w:t>
      </w:r>
    </w:p>
    <w:p>
      <w:pPr>
        <w:pStyle w:val="ListParagraph"/>
        <w:numPr>
          <w:ilvl w:val="0"/>
          <w:numId w:val="2"/>
        </w:numPr>
        <w:spacing w:before="50" w:after="50"/>
      </w:pPr>
      <w:r>
        <w:rPr>
          <w:rFonts w:ascii="Arial" w:cs="Arial" w:eastAsia="Arial" w:hAnsi="Arial"/>
          <w:b w:val="false"/>
          <w:bCs w:val="false"/>
          <w:color w:val="1A1A1A"/>
          <w:sz w:val="20"/>
          <w:szCs w:val="20"/>
        </w:rPr>
        <w:t xml:space="preserve">Irritability or mood changes that affect friendships or social interactions</w:t>
      </w:r>
    </w:p>
    <w:p>
      <w:pPr>
        <w:pStyle w:val="ListParagraph"/>
        <w:numPr>
          <w:ilvl w:val="0"/>
          <w:numId w:val="2"/>
        </w:numPr>
        <w:spacing w:before="50" w:after="50"/>
      </w:pPr>
      <w:r>
        <w:rPr>
          <w:rFonts w:ascii="Arial" w:cs="Arial" w:eastAsia="Arial" w:hAnsi="Arial"/>
          <w:b w:val="false"/>
          <w:bCs w:val="false"/>
          <w:color w:val="1A1A1A"/>
          <w:sz w:val="20"/>
          <w:szCs w:val="20"/>
        </w:rPr>
        <w:t xml:space="preserve">Isolation — withdrawal from activities previously enjoyed</w:t>
      </w:r>
    </w:p>
    <w:p>
      <w:pPr>
        <w:pStyle w:val="ListParagraph"/>
        <w:numPr>
          <w:ilvl w:val="0"/>
          <w:numId w:val="2"/>
        </w:numPr>
        <w:spacing w:before="50" w:after="50"/>
      </w:pPr>
      <w:r>
        <w:rPr>
          <w:rFonts w:ascii="Arial" w:cs="Arial" w:eastAsia="Arial" w:hAnsi="Arial"/>
          <w:b w:val="false"/>
          <w:bCs w:val="false"/>
          <w:color w:val="1A1A1A"/>
          <w:sz w:val="20"/>
          <w:szCs w:val="20"/>
        </w:rPr>
        <w:t xml:space="preserve">Inability to participate in hobbies, sports, community events, or religious activities</w:t>
      </w:r>
    </w:p>
    <w:p>
      <w:pPr>
        <w:pStyle w:val="ListParagraph"/>
        <w:numPr>
          <w:ilvl w:val="0"/>
          <w:numId w:val="2"/>
        </w:numPr>
        <w:spacing w:before="50" w:after="50"/>
      </w:pPr>
      <w:r>
        <w:rPr>
          <w:rFonts w:ascii="Arial" w:cs="Arial" w:eastAsia="Arial" w:hAnsi="Arial"/>
          <w:b w:val="false"/>
          <w:bCs w:val="false"/>
          <w:color w:val="1A1A1A"/>
          <w:sz w:val="20"/>
          <w:szCs w:val="20"/>
        </w:rPr>
        <w:t xml:space="preserve">Embarrassment or self-consciousness due to symptoms in public</w:t>
      </w:r>
    </w:p>
    <w:p>
      <w:pPr>
        <w:spacing w:before="50" w:after="80"/>
      </w:pPr>
    </w:p>
    <w:p>
      <w:pPr>
        <w:spacing w:before="40" w:after="40"/>
      </w:pPr>
      <w:r>
        <w:rPr>
          <w:rFonts w:ascii="Arial" w:cs="Arial" w:eastAsia="Arial" w:hAnsi="Arial"/>
          <w:i/>
          <w:iCs/>
          <w:color w:val="1A1A1A"/>
          <w:sz w:val="19"/>
          <w:szCs w:val="19"/>
        </w:rPr>
        <w:t xml:space="preserve">Example: "I no longer attend [activity] with friends because I cannot predict when my symptoms will flare. I have withdrawn from [group / hobby] entirely."</w:t>
      </w:r>
    </w:p>
    <w:p>
      <w:pPr>
        <w:spacing w:before="80" w:after="80"/>
      </w:pPr>
    </w:p>
    <w:p>
      <w:pPr>
        <w:pStyle w:val="Heading2"/>
        <w:spacing w:before="200" w:after="80"/>
      </w:pPr>
      <w:r>
        <w:rPr>
          <w:rFonts w:ascii="Arial" w:cs="Arial" w:eastAsia="Arial" w:hAnsi="Arial"/>
          <w:b/>
          <w:bCs/>
          <w:color w:val="1B2E4E"/>
          <w:sz w:val="24"/>
          <w:szCs w:val="24"/>
        </w:rPr>
        <w:t xml:space="preserve">3. Family Life</w:t>
      </w:r>
    </w:p>
    <w:p>
      <w:pPr>
        <w:spacing w:before="60" w:after="60"/>
      </w:pPr>
      <w:r>
        <w:rPr>
          <w:rFonts w:ascii="Arial" w:cs="Arial" w:eastAsia="Arial" w:hAnsi="Arial"/>
          <w:color w:val="1A1A1A"/>
          <w:sz w:val="20"/>
          <w:szCs w:val="20"/>
        </w:rPr>
        <w:t xml:space="preserve">Describe how conditions affect the veteran's role within the family:</w:t>
      </w:r>
    </w:p>
    <w:p>
      <w:pPr>
        <w:pStyle w:val="ListParagraph"/>
        <w:numPr>
          <w:ilvl w:val="0"/>
          <w:numId w:val="2"/>
        </w:numPr>
        <w:spacing w:before="50" w:after="50"/>
      </w:pPr>
      <w:r>
        <w:rPr>
          <w:rFonts w:ascii="Arial" w:cs="Arial" w:eastAsia="Arial" w:hAnsi="Arial"/>
          <w:b w:val="false"/>
          <w:bCs w:val="false"/>
          <w:color w:val="1A1A1A"/>
          <w:sz w:val="20"/>
          <w:szCs w:val="20"/>
        </w:rPr>
        <w:t xml:space="preserve">Household responsibilities the veteran can no longer perform (cleaning, cooking, yard work, repairs)</w:t>
      </w:r>
    </w:p>
    <w:p>
      <w:pPr>
        <w:pStyle w:val="ListParagraph"/>
        <w:numPr>
          <w:ilvl w:val="0"/>
          <w:numId w:val="2"/>
        </w:numPr>
        <w:spacing w:before="50" w:after="50"/>
      </w:pPr>
      <w:r>
        <w:rPr>
          <w:rFonts w:ascii="Arial" w:cs="Arial" w:eastAsia="Arial" w:hAnsi="Arial"/>
          <w:b w:val="false"/>
          <w:bCs w:val="false"/>
          <w:color w:val="1A1A1A"/>
          <w:sz w:val="20"/>
          <w:szCs w:val="20"/>
        </w:rPr>
        <w:t xml:space="preserve">Parenting limitations — inability to play with, carry, attend events for, or provide care for children</w:t>
      </w:r>
    </w:p>
    <w:p>
      <w:pPr>
        <w:pStyle w:val="ListParagraph"/>
        <w:numPr>
          <w:ilvl w:val="0"/>
          <w:numId w:val="2"/>
        </w:numPr>
        <w:spacing w:before="50" w:after="50"/>
      </w:pPr>
      <w:r>
        <w:rPr>
          <w:rFonts w:ascii="Arial" w:cs="Arial" w:eastAsia="Arial" w:hAnsi="Arial"/>
          <w:b w:val="false"/>
          <w:bCs w:val="false"/>
          <w:color w:val="1A1A1A"/>
          <w:sz w:val="20"/>
          <w:szCs w:val="20"/>
        </w:rPr>
        <w:t xml:space="preserve">Communication difficulties — emotional withdrawal, irritability, or inability to engage</w:t>
      </w:r>
    </w:p>
    <w:p>
      <w:pPr>
        <w:pStyle w:val="ListParagraph"/>
        <w:numPr>
          <w:ilvl w:val="0"/>
          <w:numId w:val="2"/>
        </w:numPr>
        <w:spacing w:before="50" w:after="50"/>
      </w:pPr>
      <w:r>
        <w:rPr>
          <w:rFonts w:ascii="Arial" w:cs="Arial" w:eastAsia="Arial" w:hAnsi="Arial"/>
          <w:b w:val="false"/>
          <w:bCs w:val="false"/>
          <w:color w:val="1A1A1A"/>
          <w:sz w:val="20"/>
          <w:szCs w:val="20"/>
        </w:rPr>
        <w:t xml:space="preserve">Emotional strain on the family unit</w:t>
      </w:r>
    </w:p>
    <w:p>
      <w:pPr>
        <w:pStyle w:val="ListParagraph"/>
        <w:numPr>
          <w:ilvl w:val="0"/>
          <w:numId w:val="2"/>
        </w:numPr>
        <w:spacing w:before="50" w:after="50"/>
      </w:pPr>
      <w:r>
        <w:rPr>
          <w:rFonts w:ascii="Arial" w:cs="Arial" w:eastAsia="Arial" w:hAnsi="Arial"/>
          <w:b w:val="false"/>
          <w:bCs w:val="false"/>
          <w:color w:val="1A1A1A"/>
          <w:sz w:val="20"/>
          <w:szCs w:val="20"/>
        </w:rPr>
        <w:t xml:space="preserve">Dependency on family members for tasks previously handled independently</w:t>
      </w:r>
    </w:p>
    <w:p>
      <w:pPr>
        <w:spacing w:before="50" w:after="80"/>
      </w:pPr>
    </w:p>
    <w:p>
      <w:pPr>
        <w:spacing w:before="40" w:after="40"/>
      </w:pPr>
      <w:r>
        <w:rPr>
          <w:rFonts w:ascii="Arial" w:cs="Arial" w:eastAsia="Arial" w:hAnsi="Arial"/>
          <w:i/>
          <w:iCs/>
          <w:color w:val="1A1A1A"/>
          <w:sz w:val="19"/>
          <w:szCs w:val="19"/>
        </w:rPr>
        <w:t xml:space="preserve">Example: "My spouse now handles all of the [tasks] because I am unable to do them. I am unable to play with or carry my children because of [condition]."</w:t>
      </w:r>
    </w:p>
    <w:p>
      <w:pPr>
        <w:spacing w:before="80" w:after="80"/>
      </w:pPr>
    </w:p>
    <w:p>
      <w:pPr>
        <w:pStyle w:val="Heading2"/>
        <w:spacing w:before="200" w:after="80"/>
      </w:pPr>
      <w:r>
        <w:rPr>
          <w:rFonts w:ascii="Arial" w:cs="Arial" w:eastAsia="Arial" w:hAnsi="Arial"/>
          <w:b/>
          <w:bCs/>
          <w:color w:val="1B2E4E"/>
          <w:sz w:val="24"/>
          <w:szCs w:val="24"/>
        </w:rPr>
        <w:t xml:space="preserve">4. Sexual Functioning</w:t>
      </w:r>
    </w:p>
    <w:p>
      <w:pPr>
        <w:spacing w:before="60" w:after="60"/>
      </w:pPr>
      <w:r>
        <w:rPr>
          <w:rFonts w:ascii="Arial" w:cs="Arial" w:eastAsia="Arial" w:hAnsi="Arial"/>
          <w:color w:val="1A1A1A"/>
          <w:sz w:val="20"/>
          <w:szCs w:val="20"/>
        </w:rPr>
        <w:t xml:space="preserve">Use clinical, matter-of-fact language. This domain is medically and legally relevant to VA ratings and should not be omitted.</w:t>
      </w:r>
    </w:p>
    <w:p>
      <w:pPr>
        <w:pStyle w:val="ListParagraph"/>
        <w:numPr>
          <w:ilvl w:val="0"/>
          <w:numId w:val="2"/>
        </w:numPr>
        <w:spacing w:before="50" w:after="50"/>
      </w:pPr>
      <w:r>
        <w:rPr>
          <w:rFonts w:ascii="Arial" w:cs="Arial" w:eastAsia="Arial" w:hAnsi="Arial"/>
          <w:b w:val="false"/>
          <w:bCs w:val="false"/>
          <w:color w:val="1A1A1A"/>
          <w:sz w:val="20"/>
          <w:szCs w:val="20"/>
        </w:rPr>
        <w:t xml:space="preserve">Reduced libido or loss of interest in sexual activity due to pain, fatigue, or mental health symptoms</w:t>
      </w:r>
    </w:p>
    <w:p>
      <w:pPr>
        <w:pStyle w:val="ListParagraph"/>
        <w:numPr>
          <w:ilvl w:val="0"/>
          <w:numId w:val="2"/>
        </w:numPr>
        <w:spacing w:before="50" w:after="50"/>
      </w:pPr>
      <w:r>
        <w:rPr>
          <w:rFonts w:ascii="Arial" w:cs="Arial" w:eastAsia="Arial" w:hAnsi="Arial"/>
          <w:b w:val="false"/>
          <w:bCs w:val="false"/>
          <w:color w:val="1A1A1A"/>
          <w:sz w:val="20"/>
          <w:szCs w:val="20"/>
        </w:rPr>
        <w:t xml:space="preserve">Pain during or related to sexual activity</w:t>
      </w:r>
    </w:p>
    <w:p>
      <w:pPr>
        <w:pStyle w:val="ListParagraph"/>
        <w:numPr>
          <w:ilvl w:val="0"/>
          <w:numId w:val="2"/>
        </w:numPr>
        <w:spacing w:before="50" w:after="50"/>
      </w:pPr>
      <w:r>
        <w:rPr>
          <w:rFonts w:ascii="Arial" w:cs="Arial" w:eastAsia="Arial" w:hAnsi="Arial"/>
          <w:b w:val="false"/>
          <w:bCs w:val="false"/>
          <w:color w:val="1A1A1A"/>
          <w:sz w:val="20"/>
          <w:szCs w:val="20"/>
        </w:rPr>
        <w:t xml:space="preserve">Erectile dysfunction or other physical sexual dysfunction</w:t>
      </w:r>
    </w:p>
    <w:p>
      <w:pPr>
        <w:pStyle w:val="ListParagraph"/>
        <w:numPr>
          <w:ilvl w:val="0"/>
          <w:numId w:val="2"/>
        </w:numPr>
        <w:spacing w:before="50" w:after="50"/>
      </w:pPr>
      <w:r>
        <w:rPr>
          <w:rFonts w:ascii="Arial" w:cs="Arial" w:eastAsia="Arial" w:hAnsi="Arial"/>
          <w:b w:val="false"/>
          <w:bCs w:val="false"/>
          <w:color w:val="1A1A1A"/>
          <w:sz w:val="20"/>
          <w:szCs w:val="20"/>
        </w:rPr>
        <w:t xml:space="preserve">Difficulty with intimacy due to PTSD symptoms, anxiety, or emotional numbing</w:t>
      </w:r>
    </w:p>
    <w:p>
      <w:pPr>
        <w:pStyle w:val="ListParagraph"/>
        <w:numPr>
          <w:ilvl w:val="0"/>
          <w:numId w:val="2"/>
        </w:numPr>
        <w:spacing w:before="50" w:after="50"/>
      </w:pPr>
      <w:r>
        <w:rPr>
          <w:rFonts w:ascii="Arial" w:cs="Arial" w:eastAsia="Arial" w:hAnsi="Arial"/>
          <w:b w:val="false"/>
          <w:bCs w:val="false"/>
          <w:color w:val="1A1A1A"/>
          <w:sz w:val="20"/>
          <w:szCs w:val="20"/>
        </w:rPr>
        <w:t xml:space="preserve">Impact on the relationship as a result of changes in sexual functioning</w:t>
      </w:r>
    </w:p>
    <w:p>
      <w:pPr>
        <w:spacing w:before="50" w:after="80"/>
      </w:pPr>
    </w:p>
    <w:p>
      <w:pPr>
        <w:spacing w:before="40" w:after="40"/>
      </w:pPr>
      <w:r>
        <w:rPr>
          <w:rFonts w:ascii="Arial" w:cs="Arial" w:eastAsia="Arial" w:hAnsi="Arial"/>
          <w:i/>
          <w:iCs/>
          <w:color w:val="1A1A1A"/>
          <w:sz w:val="19"/>
          <w:szCs w:val="19"/>
        </w:rPr>
        <w:t xml:space="preserve">Example: "Since my [condition / injury / medication], I have experienced [describe symptom] which has significantly affected my relationship with my spouse / partner."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This statement is lay evidence and carries real legal weight. Be specific. Describe worst-day symptoms. Review it with your doctor — they may be able to confirm clinical detail that elevates it to Tier 1 evidence.</w:t>
            </w:r>
          </w:p>
        </w:tc>
      </w:tr>
    </w:tbl>
    <w:p>
      <w:pPr>
        <w:pBdr>
          <w:bottom w:val="single" w:color="1B2E4E" w:sz="6" w:space="1"/>
        </w:pBdr>
        <w:spacing w:before="140" w:after="140"/>
      </w:pPr>
    </w:p>
    <w:p>
      <w:pPr>
        <w:spacing w:before="160" w:after="80"/>
      </w:pPr>
      <w:r>
        <w:rPr>
          <w:rFonts w:ascii="Arial" w:cs="Arial" w:eastAsia="Arial" w:hAnsi="Arial"/>
          <w:b/>
          <w:bCs/>
          <w:color w:val="1B2E4E"/>
          <w:sz w:val="22"/>
          <w:szCs w:val="22"/>
        </w:rPr>
        <w:t xml:space="preserve">End of Every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60"/>
            </w:pPr>
            <w:r>
              <w:rPr>
                <w:rFonts w:ascii="Arial" w:cs="Arial" w:eastAsia="Arial" w:hAnsi="Arial"/>
                <w:b/>
                <w:bCs/>
                <w:color w:val="1B2E4E"/>
                <w:sz w:val="21"/>
                <w:szCs w:val="21"/>
              </w:rPr>
              <w:t xml:space="preserve">Thank you for your service.</w:t>
            </w:r>
          </w:p>
          <w:p>
            <w:pPr>
              <w:spacing w:before="0" w:after="30"/>
            </w:pPr>
            <w:r>
              <w:rPr>
                <w:rFonts w:ascii="Arial" w:cs="Arial" w:eastAsia="Arial" w:hAnsi="Arial"/>
                <w:color w:val="1A1A1A"/>
                <w:sz w:val="19"/>
                <w:szCs w:val="19"/>
              </w:rPr>
              <w:t xml:space="preserve">Would you like me to:</w:t>
            </w:r>
          </w:p>
          <w:p>
            <w:pPr>
              <w:spacing w:before="0" w:after="20"/>
            </w:pPr>
            <w:r>
              <w:rPr>
                <w:rFonts w:ascii="Arial" w:cs="Arial" w:eastAsia="Arial" w:hAnsi="Arial"/>
                <w:color w:val="1A1A1A"/>
                <w:sz w:val="19"/>
                <w:szCs w:val="19"/>
              </w:rPr>
              <w:t xml:space="preserve">  •  Refine or expand any section of this report</w:t>
            </w:r>
          </w:p>
          <w:p>
            <w:pPr>
              <w:spacing w:before="0" w:after="20"/>
            </w:pPr>
            <w:r>
              <w:rPr>
                <w:rFonts w:ascii="Arial" w:cs="Arial" w:eastAsia="Arial" w:hAnsi="Arial"/>
                <w:color w:val="1A1A1A"/>
                <w:sz w:val="19"/>
                <w:szCs w:val="19"/>
              </w:rPr>
              <w:t xml:space="preserve">  •  Draft outreach communications (VSO email, attorney summary, or doctor script)</w:t>
            </w:r>
          </w:p>
          <w:p>
            <w:pPr>
              <w:spacing w:before="0" w:after="20"/>
            </w:pPr>
            <w:r>
              <w:rPr>
                <w:rFonts w:ascii="Arial" w:cs="Arial" w:eastAsia="Arial" w:hAnsi="Arial"/>
                <w:color w:val="1A1A1A"/>
                <w:sz w:val="19"/>
                <w:szCs w:val="19"/>
              </w:rPr>
              <w:t xml:space="preserve">  •  Generate a C&amp;P Exam Preparation Brief</w:t>
            </w:r>
          </w:p>
          <w:p>
            <w:pPr>
              <w:spacing w:before="0" w:after="20"/>
            </w:pPr>
            <w:r>
              <w:rPr>
                <w:rFonts w:ascii="Arial" w:cs="Arial" w:eastAsia="Arial" w:hAnsi="Arial"/>
                <w:color w:val="1A1A1A"/>
                <w:sz w:val="19"/>
                <w:szCs w:val="19"/>
              </w:rPr>
              <w:t xml:space="preserve">  •  Write a buddy statement or impact statement</w:t>
            </w:r>
          </w:p>
          <w:p>
            <w:pPr>
              <w:spacing w:before="0" w:after="0"/>
            </w:pPr>
            <w:r>
              <w:rPr>
                <w:rFonts w:ascii="Arial" w:cs="Arial" w:eastAsia="Arial" w:hAnsi="Arial"/>
                <w:color w:val="1A1A1A"/>
                <w:sz w:val="19"/>
                <w:szCs w:val="19"/>
              </w:rPr>
              <w:t xml:space="preserve">  •  Or something else?</w:t>
            </w:r>
          </w:p>
        </w:tc>
      </w:tr>
    </w:tbl>
    <w:p>
      <w:pPr>
        <w:spacing w:before="80" w:after="80"/>
      </w:pPr>
    </w:p>
    <w:p>
      <w:pPr>
        <w:pBdr>
          <w:bottom w:val="single" w:color="1B2E4E" w:sz="2" w:space="1"/>
        </w:pBdr>
        <w:spacing w:before="80" w:after="80"/>
      </w:pPr>
    </w:p>
    <w:p>
      <w:pPr>
        <w:spacing w:before="60" w:after="60"/>
      </w:pPr>
      <w:r>
        <w:rPr>
          <w:rFonts w:ascii="Arial" w:cs="Arial" w:eastAsia="Arial" w:hAnsi="Arial"/>
          <w:b/>
          <w:bCs/>
          <w:color w:val="1B2E4E"/>
          <w:sz w:val="20"/>
          <w:szCs w:val="20"/>
        </w:rPr>
        <w:t xml:space="preserve">VA Help Line: </w:t>
      </w:r>
      <w:r>
        <w:rPr>
          <w:rFonts w:ascii="Arial" w:cs="Arial" w:eastAsia="Arial" w:hAnsi="Arial"/>
          <w:color w:val="1A1A1A"/>
          <w:sz w:val="20"/>
          <w:szCs w:val="20"/>
        </w:rPr>
        <w:t xml:space="preserve">1-800-827-1000 (TTY: 711)</w:t>
      </w:r>
    </w:p>
    <w:p>
      <w:pPr>
        <w:pBdr>
          <w:bottom w:val="single" w:color="CC0000" w:sz="2" w:space="1"/>
        </w:pBdr>
        <w:spacing w:before="80" w:after="80"/>
      </w:pPr>
    </w:p>
    <w:p>
      <w:pPr>
        <w:spacing w:before="60" w:after="40"/>
      </w:pPr>
      <w:r>
        <w:rPr>
          <w:rFonts w:ascii="Arial" w:cs="Arial" w:eastAsia="Arial" w:hAnsi="Arial"/>
          <w:b/>
          <w:bCs/>
          <w:color w:val="CC0000"/>
          <w:sz w:val="20"/>
          <w:szCs w:val="20"/>
        </w:rPr>
        <w:t xml:space="preserve">Veterans Crisis Line: </w:t>
      </w:r>
      <w:r>
        <w:rPr>
          <w:rFonts w:ascii="Arial" w:cs="Arial" w:eastAsia="Arial" w:hAnsi="Arial"/>
          <w:color w:val="1A1A1A"/>
          <w:sz w:val="20"/>
          <w:szCs w:val="20"/>
        </w:rPr>
        <w:t xml:space="preserve">Call or text </w:t>
      </w:r>
      <w:r>
        <w:rPr>
          <w:rFonts w:ascii="Arial" w:cs="Arial" w:eastAsia="Arial" w:hAnsi="Arial"/>
          <w:b/>
          <w:bCs/>
          <w:color w:val="CC0000"/>
          <w:sz w:val="20"/>
          <w:szCs w:val="20"/>
        </w:rPr>
        <w:t xml:space="preserve">988</w:t>
      </w:r>
      <w:r>
        <w:rPr>
          <w:rFonts w:ascii="Arial" w:cs="Arial" w:eastAsia="Arial" w:hAnsi="Arial"/>
          <w:color w:val="1A1A1A"/>
          <w:sz w:val="20"/>
          <w:szCs w:val="20"/>
        </w:rPr>
        <w:t xml:space="preserve"> — 24/7, confidential</w:t>
      </w:r>
    </w:p>
    <w:p>
      <w:pPr>
        <w:spacing w:before="0" w:after="40"/>
      </w:pPr>
      <w:r>
        <w:rPr>
          <w:rFonts w:ascii="Arial" w:cs="Arial" w:eastAsia="Arial" w:hAnsi="Arial"/>
          <w:color w:val="555555"/>
          <w:sz w:val="19"/>
          <w:szCs w:val="19"/>
        </w:rPr>
        <w:t xml:space="preserve">Or call 1-800-273-8255 and press 1  ·  Text 838255</w:t>
      </w:r>
    </w:p>
    <w:p>
      <w:pPr>
        <w:pBdr>
          <w:bottom w:val="single" w:color="1A6B3A" w:sz="2" w:space="1"/>
        </w:pBdr>
        <w:spacing w:before="80" w:after="80"/>
      </w:pPr>
    </w:p>
    <w:p>
      <w:pPr>
        <w:spacing w:before="60" w:after="40"/>
      </w:pPr>
      <w:r>
        <w:rPr>
          <w:rFonts w:ascii="Arial" w:cs="Arial" w:eastAsia="Arial" w:hAnsi="Arial"/>
          <w:b/>
          <w:bCs/>
          <w:color w:val="1A6B3A"/>
          <w:sz w:val="19"/>
          <w:szCs w:val="19"/>
        </w:rPr>
        <w:t xml:space="preserve">VA Claim Scout is free for every veteran. Share freely.</w:t>
      </w:r>
    </w:p>
    <w:p>
      <w:pPr>
        <w:spacing w:before="0" w:after="60"/>
      </w:pPr>
      <w:r>
        <w:rPr>
          <w:rFonts w:ascii="Arial" w:cs="Arial" w:eastAsia="Arial" w:hAnsi="Arial"/>
          <w:i/>
          <w:iCs/>
          <w:color w:val="555555"/>
          <w:sz w:val="19"/>
          <w:szCs w:val="19"/>
        </w:rPr>
        <w:t xml:space="preserve">Credit &amp; updates: github.com/VAClaimScout</w:t>
      </w:r>
    </w:p>
    <w:p>
      <w:pPr>
        <w:pBdr>
          <w:bottom w:val="single" w:color="1B2E4E" w:sz="2"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40"/>
            </w:pPr>
            <w:r>
              <w:rPr>
                <w:rFonts w:ascii="Arial" w:cs="Arial" w:eastAsia="Arial" w:hAnsi="Arial"/>
                <w:b/>
                <w:bCs/>
                <w:color w:val="CC0000"/>
                <w:sz w:val="20"/>
                <w:szCs w:val="20"/>
              </w:rPr>
              <w:t xml:space="preserve">Safety Note — If you are in crisis or need immediate support:</w:t>
            </w:r>
          </w:p>
          <w:p>
            <w:pPr>
              <w:spacing w:before="0" w:after="30"/>
            </w:pPr>
            <w:r>
              <w:rPr>
                <w:rFonts w:ascii="Arial" w:cs="Arial" w:eastAsia="Arial" w:hAnsi="Arial"/>
                <w:color w:val="1A1A1A"/>
                <w:sz w:val="19"/>
                <w:szCs w:val="19"/>
              </w:rPr>
              <w:t xml:space="preserve">Call or text </w:t>
            </w:r>
            <w:r>
              <w:rPr>
                <w:rFonts w:ascii="Arial" w:cs="Arial" w:eastAsia="Arial" w:hAnsi="Arial"/>
                <w:b/>
                <w:bCs/>
                <w:color w:val="CC0000"/>
                <w:sz w:val="19"/>
                <w:szCs w:val="19"/>
              </w:rPr>
              <w:t xml:space="preserve">988</w:t>
            </w:r>
            <w:r>
              <w:rPr>
                <w:rFonts w:ascii="Arial" w:cs="Arial" w:eastAsia="Arial" w:hAnsi="Arial"/>
                <w:color w:val="1A1A1A"/>
                <w:sz w:val="19"/>
                <w:szCs w:val="19"/>
              </w:rPr>
              <w:t xml:space="preserve"> — Veterans Crisis Line, available 24/7, confidential.</w:t>
            </w:r>
          </w:p>
          <w:p>
            <w:pPr>
              <w:spacing w:before="0" w:after="30"/>
            </w:pPr>
            <w:r>
              <w:rPr>
                <w:rFonts w:ascii="Arial" w:cs="Arial" w:eastAsia="Arial" w:hAnsi="Arial"/>
                <w:color w:val="1A1A1A"/>
                <w:sz w:val="19"/>
                <w:szCs w:val="19"/>
              </w:rPr>
              <w:t xml:space="preserve">Or call 1-800-273-8255 and press 1.</w:t>
            </w:r>
          </w:p>
          <w:p>
            <w:pPr>
              <w:spacing w:before="0" w:after="0"/>
            </w:pPr>
            <w:r>
              <w:rPr>
                <w:rFonts w:ascii="Arial" w:cs="Arial" w:eastAsia="Arial" w:hAnsi="Arial"/>
                <w:b/>
                <w:bCs/>
                <w:color w:val="1B2E4E"/>
                <w:sz w:val="20"/>
                <w:szCs w:val="20"/>
              </w:rPr>
              <w:t xml:space="preserve">You are not alone.</w:t>
            </w:r>
          </w:p>
        </w:tc>
      </w:tr>
    </w:tbl>
    <w:p>
      <w:pPr>
        <w:spacing w:before="80" w:after="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E4E" w:sz="4" w:space="1"/>
      </w:pBdr>
      <w:tabs>
        <w:tab w:val="right" w:pos="9026"/>
      </w:tabs>
      <w:spacing w:before="0" w:after="0"/>
    </w:pPr>
    <w:r>
      <w:rPr>
        <w:rFonts w:ascii="Arial" w:cs="Arial" w:eastAsia="Arial" w:hAnsi="Arial"/>
        <w:color w:val="888888"/>
        <w:sz w:val="16"/>
        <w:szCs w:val="16"/>
      </w:rPr>
      <w:t xml:space="preserve">Not legal, medical, or VA-official advice. For research only.</w:t>
    </w:r>
    <w:r>
      <w:rPr>
        <w:rFonts w:ascii="Arial" w:cs="Arial" w:eastAsia="Arial" w:hAnsi="Arial"/>
        <w:sz w:val="16"/>
        <w:szCs w:val="16"/>
      </w:rPr>
      <w:tab/>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E4E" w:sz="6" w:space="1"/>
      </w:pBdr>
      <w:tabs>
        <w:tab w:val="right" w:pos="9026"/>
      </w:tabs>
      <w:spacing w:before="0" w:after="0"/>
    </w:pPr>
    <w:r>
      <w:rPr>
        <w:rFonts w:ascii="Arial" w:cs="Arial" w:eastAsia="Arial" w:hAnsi="Arial"/>
        <w:b/>
        <w:bCs/>
        <w:color w:val="1B2E4E"/>
        <w:sz w:val="18"/>
        <w:szCs w:val="18"/>
      </w:rPr>
      <w:t xml:space="preserve">VA CLAIM SCOUT  </w:t>
    </w:r>
    <w:r>
      <w:rPr>
        <w:rFonts w:ascii="Arial" w:cs="Arial" w:eastAsia="Arial" w:hAnsi="Arial"/>
        <w:color w:val="555555"/>
        <w:sz w:val="18"/>
        <w:szCs w:val="18"/>
      </w:rPr>
      <w:t xml:space="preserve">Master Research Framework</w:t>
    </w:r>
    <w:r>
      <w:rPr>
        <w:rFonts w:ascii="Arial" w:cs="Arial" w:eastAsia="Arial" w:hAnsi="Arial"/>
        <w:sz w:val="18"/>
        <w:szCs w:val="18"/>
      </w:rPr>
      <w:tab/>
    </w:r>
    <w:r>
      <w:rPr>
        <w:rFonts w:ascii="Arial" w:cs="Arial" w:eastAsia="Arial" w:hAnsi="Arial"/>
        <w:i/>
        <w:iCs/>
        <w:color w:val="999999"/>
        <w:sz w:val="16"/>
        <w:szCs w:val="16"/>
      </w:rPr>
      <w:t xml:space="preserve">v0.3 — Pre-Release  ·  Free for every veteran  ·  github.com/VAClaimScout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E4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B2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2026-03-14T14:43:05.318Z</dcterms:created>
  <dcterms:modified xsi:type="dcterms:W3CDTF">2026-03-14T14:43:05.320Z</dcterms:modified>
</cp:coreProperties>
</file>

<file path=docProps/custom.xml><?xml version="1.0" encoding="utf-8"?>
<Properties xmlns="http://schemas.openxmlformats.org/officeDocument/2006/custom-properties" xmlns:vt="http://schemas.openxmlformats.org/officeDocument/2006/docPropsVTypes"/>
</file>