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42E4F">
      <w:pPr>
        <w:spacing w:after="120"/>
        <w:jc w:val="center"/>
      </w:pPr>
      <w:r>
        <w:rPr>
          <w:rFonts w:ascii="微软雅黑" w:hAnsi="微软雅黑" w:eastAsia="微软雅黑"/>
          <w:b/>
          <w:color w:val="142A43"/>
          <w:sz w:val="44"/>
        </w:rPr>
        <w:t>CtrlShiftAI · 赛题05 路演文字稿</w:t>
      </w:r>
    </w:p>
    <w:p w14:paraId="11586D28">
      <w:pPr>
        <w:jc w:val="center"/>
      </w:pPr>
      <w:r>
        <w:rPr>
          <w:rFonts w:ascii="微软雅黑" w:hAnsi="微软雅黑" w:eastAsia="微软雅黑"/>
          <w:b/>
          <w:color w:val="00A6A6"/>
          <w:sz w:val="22"/>
        </w:rPr>
        <w:t>陈述 8 分钟｜评委问答 2 分钟</w:t>
      </w:r>
    </w:p>
    <w:p w14:paraId="18998D97">
      <w:pPr>
        <w:spacing w:before="0" w:after="200" w:line="271" w:lineRule="auto"/>
      </w:pPr>
      <w:r>
        <w:rPr>
          <w:rFonts w:ascii="微软雅黑" w:hAnsi="微软雅黑" w:eastAsia="微软雅黑"/>
          <w:b w:val="0"/>
          <w:color w:val="607386"/>
          <w:sz w:val="19"/>
        </w:rPr>
        <w:t>使用建议：正常语速约每分钟 220–260 个汉字；按计时提示练习，现场可根据主持人节奏略作删减。演示时只展示脱敏测试数据，避免现场真实密钥或真实企业数据。</w:t>
      </w:r>
    </w:p>
    <w:p w14:paraId="1DB63207">
      <w:pPr>
        <w:spacing w:before="80" w:after="160" w:line="271" w:lineRule="auto"/>
      </w:pPr>
      <w:r>
        <w:rPr>
          <w:rFonts w:ascii="微软雅黑" w:hAnsi="微软雅黑" w:eastAsia="微软雅黑"/>
          <w:b/>
          <w:color w:val="142A43"/>
          <w:sz w:val="30"/>
        </w:rPr>
        <w:t>一、8 分钟陈述</w:t>
      </w:r>
    </w:p>
    <w:p w14:paraId="54EB4BFC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1. 企业智能融资匹配平台（0:25；累计 00:00–00:25）</w:t>
      </w:r>
    </w:p>
    <w:p w14:paraId="765332D0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各位评委好，我们是 CtrlShiftAI。我们做的是一个本地可运行的企业融资匹配 Agent：把产品说明书结构化，把企业需求和已授权数据放进可解释的规则流程，输出供客户经理复核的产品预审结果。它不是授信审批系统，今天我用八分钟介绍它如何做到可用、可查、可控。</w:t>
      </w:r>
    </w:p>
    <w:p w14:paraId="32C789BF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2. 难点不是“缺模型”，而是口径与协同（1:00；累计 00:25–01:25）</w:t>
      </w:r>
    </w:p>
    <w:p w14:paraId="38C960E7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这道题的业务难点有三层。第一，11 份产品说明书有不同额度、期限、用途和准入要求，宣传导语也可能与正式条款不一致。第二，融资需求往往是自然语言，还要核对工商、税务、社保、司法和历史融资等数据。第三，判断不仅要给名单，还要说明每条结论来自什么规则、什么字段，并且授权前不能越界查询。我们因此没有把任务简化成“让大模型读完后给答案”，而是把数据、规则和责任边界设计成一条完整流程。</w:t>
      </w:r>
    </w:p>
    <w:p w14:paraId="385D7FDB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3. 一条闭环：从产品入库到方案留痕（1:00；累计 01:25–02:25）</w:t>
      </w:r>
    </w:p>
    <w:p w14:paraId="1855745A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系统先在产品上传时抽取 11 份说明书的关键要素；客户经理通过对话提供企业、金额、期限和用途，缺项先追问。随后先检查企业是否收录及授权状态，只有授权后才分次查询税务、社保、司法和融资历史。系统对已入库的每款产品逐一预审，再按利率或额度优先排序，最多展示三款。客户经理确认后形成对接单，已确认方案才进入政府汇总和报告。全程留下消息、规则和工具 trace。</w:t>
      </w:r>
    </w:p>
    <w:p w14:paraId="515D34D9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4. 产品条款结构化，预审结论逐项可解释（1:10；累计 02:25–03:35）</w:t>
      </w:r>
    </w:p>
    <w:p w14:paraId="3759AA11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产品抽取只在上传时完成，预审不临时让模型阅读 PDF。我们以第三至第六条为口径：用途和期限、区域和行业、额度利率与担保、以及准入条件分别落入产品表，并记录来源。之后由 18 条代码规则逐款判断，所有 11 款产品都会给出符合、不符或需人工复核；名单只从符合项中排序。比如某个条件缺失时不会猜成符合，而会标成需人工复核；每个失败原因都尽量带上实际数值、字段与条款依据。</w:t>
      </w:r>
    </w:p>
    <w:p w14:paraId="7E6F7A7C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5. Agent 做协同，代码掌握决策权（1:10；累计 03:35–04:45）</w:t>
      </w:r>
    </w:p>
    <w:p w14:paraId="60BEA9E0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Agent 的价值在于把对话、工具、状态与记忆编排起来，而不是让模型直接决定能不能融资。配置模型时，它可以提出意图、补充尚未识别的字段，或把结构化结果转成简洁解读；补出的字段还必须经过代码校验。授权闸门、18 条预审规则、排序、方案状态和统计都由代码执行。未配置密钥或模型失败，系统退回本地规则继续工作。这样既保留自然交互，也能复算关键结论。</w:t>
      </w:r>
    </w:p>
    <w:p w14:paraId="7B6CB352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6. 把授权与数据边界放进流程（1:00；累计 04:45–05:45）</w:t>
      </w:r>
    </w:p>
    <w:p w14:paraId="302DE5C3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合规不是回复末尾的一句提示，而是工具层的硬闸门：未授权时，税务、社保、司法和融资历史工具拒绝读取，整单停在待授权。项目默认本地规则运行；只有用户配置密钥时才调用可选模型，统一社会信用代码、法定代表人和明细不作为模型输入。还需要明确原型边界：当前授权是操作人员确认，不校验真实授权凭证；演示角色也没有接入登录认证。因此上线前必须接入身份、真实授权核验和正式数据接口。</w:t>
      </w:r>
    </w:p>
    <w:p w14:paraId="7E5C5AEA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7. 验证结果：规则可复算，范围如实说明（1:20；累计 05:45–07:05）</w:t>
      </w:r>
    </w:p>
    <w:p w14:paraId="2099ED72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我们用三类证据验证系统。第一，公开测评集 15 道题，规则模式和模型辅助模式都达到 15/15 与标准结果一致；其中 11 道有名单题，共核对 121 个产品级结论及原因。第二，自动化测试报告记录 53 项通过，覆盖授权闸门、边界条件、会话隔离、失败降级和规则一致性。第三，现场加试 30 道输入全部生成非空回复并保存 trace，覆盖 29 个会话；但它没有标准答案，因此我们只报告运行覆盖，不把它写成准确率。验证说明了当前原型在已知评测范围内可复算，不代表真实生产环境的业务成效。</w:t>
      </w:r>
    </w:p>
    <w:p w14:paraId="596836FD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8. 从可运行原型到业务试点（0:45；累计 07:05–07:50）</w:t>
      </w:r>
    </w:p>
    <w:p w14:paraId="150B3E98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当前交付包含本地运行系统、离线依赖包、批测记录和自测材料，适合评审与受控演示。若推进试点，我们建议分三步：先对接身份权限和可验证的授权凭证；再接入经过审批的企业数据接口与审计留存；最后在客户经理监督下做小范围试点，用单笔处理时间、人工复核率、数据缺失率和推荐采纳率评估价值。每一步都要保留人工决策，不把产品预审包装成授信结果。</w:t>
      </w:r>
    </w:p>
    <w:p w14:paraId="0D65864F">
      <w:pPr>
        <w:spacing w:before="140" w:after="80" w:line="271" w:lineRule="auto"/>
      </w:pPr>
      <w:r>
        <w:rPr>
          <w:rFonts w:ascii="微软雅黑" w:hAnsi="微软雅黑" w:eastAsia="微软雅黑"/>
          <w:b/>
          <w:color w:val="2364AA"/>
          <w:sz w:val="24"/>
        </w:rPr>
        <w:t>9. 让规则透明，让模型有边界（0:10；累计 07:50–08:00）</w:t>
      </w:r>
    </w:p>
    <w:p w14:paraId="29877DA9">
      <w:pPr>
        <w:keepLines/>
        <w:spacing w:before="0" w:after="60" w:line="271" w:lineRule="auto"/>
      </w:pPr>
      <w:r>
        <w:rPr>
          <w:rFonts w:ascii="微软雅黑" w:hAnsi="微软雅黑" w:eastAsia="微软雅黑"/>
          <w:b w:val="0"/>
          <w:color w:val="20354A"/>
          <w:sz w:val="21"/>
        </w:rPr>
        <w:t>我们的目标，是让融资匹配更高效，同时让每个判断都能被人看懂、复核和追溯。谢谢各位评委，欢迎提问。</w:t>
      </w:r>
    </w:p>
    <w:p w14:paraId="51CADF19">
      <w:pPr>
        <w:spacing w:before="240" w:after="140" w:line="271" w:lineRule="auto"/>
      </w:pPr>
      <w:r>
        <w:rPr>
          <w:rFonts w:ascii="微软雅黑" w:hAnsi="微软雅黑" w:eastAsia="微软雅黑"/>
          <w:b/>
          <w:color w:val="142A43"/>
          <w:sz w:val="30"/>
        </w:rPr>
        <w:t>二、2 分钟评委问答（优先准备前四题）</w:t>
      </w:r>
    </w:p>
    <w:p w14:paraId="7A077893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Q1（优先，约 25 秒）：为什么还需要大模型？规则系统不就够了吗？</w:t>
      </w:r>
    </w:p>
    <w:p w14:paraId="21CAF4F0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规则负责准入、排序和授权这些必须稳定的判断；模型只负责自然语言理解、受校验的字段补全和结果解读。没有模型密钥时系统仍能运行。我们把模型放在提升交互效率的位置，不让它越权裁决。</w:t>
      </w:r>
    </w:p>
    <w:p w14:paraId="1B6DC67F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Q2（优先，约 30 秒）：15 道公开题全部通过，样本这么小，能说明准确吗？</w:t>
      </w:r>
    </w:p>
    <w:p w14:paraId="06132C6F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不能外推到真实业务准确率。15/15 是公开集与给定标准答案的一致率；我们还核对了 121 个产品级结论，并用 53 项自动化测试覆盖规则边界。现场加试没有标准答案，所以只报告 30/30 题成功生成记录，不报告准确率。下一步需要扩大独立样本并做业务人员盲审。</w:t>
      </w:r>
    </w:p>
    <w:p w14:paraId="282DC99B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Q3（优先，约 25 秒）：你们如何避免企业数据泄露或未授权查询？</w:t>
      </w:r>
    </w:p>
    <w:p w14:paraId="1EBA24DC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代码先检查授权状态，未授权就拒绝读取税务、社保、司法和融资历史。系统默认本地运行，模型调用可选，敏感标识和明细不送模型。不过当前授权确认仍是演示流程，生产接入前必须对接可验证授权、身份认证和正式审计。</w:t>
      </w:r>
      <w:bookmarkStart w:id="0" w:name="_GoBack"/>
      <w:bookmarkEnd w:id="0"/>
    </w:p>
    <w:p w14:paraId="72AD5ACC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Q4（优先，约 25 秒）：说明书抽取错了怎么办？模型会不会编造条件？</w:t>
      </w:r>
    </w:p>
    <w:p w14:paraId="2723E99E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抽取以第三至第六条为范围，记录字段来源；缺失或无法识别的条件不会当成通过，而会进入人工复核。预审使用结构化产品表和代码规则，模型不能改判定。真实上线仍需建立抽取抽检、版本管理和人工纠错闭环。</w:t>
      </w:r>
    </w:p>
    <w:p w14:paraId="206B1B53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Q5（备用，约 20 秒）：这个项目已经可以在银行生产使用了吗？</w:t>
      </w:r>
    </w:p>
    <w:p w14:paraId="59D38C45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还不能这样宣称。它是可运行原型，授权凭证和角色登录尚未接真实系统，数据也是赛事提供的测试数据。我们建议先在脱敏、受控的试点环境里接入经过批准的数据，再做安全、合规和业务验证。</w:t>
      </w:r>
    </w:p>
    <w:p w14:paraId="4E396408">
      <w:pPr>
        <w:keepNext/>
        <w:spacing w:before="120" w:after="40" w:line="271" w:lineRule="auto"/>
      </w:pPr>
      <w:r>
        <w:rPr>
          <w:rFonts w:ascii="微软雅黑" w:hAnsi="微软雅黑" w:eastAsia="微软雅黑"/>
          <w:b/>
          <w:color w:val="2364AA"/>
          <w:sz w:val="21"/>
        </w:rPr>
        <w:t>Q6（备用，约 20 秒）：如何衡量它给客户经理带来的实际价值？</w:t>
      </w:r>
    </w:p>
    <w:p w14:paraId="01169770">
      <w:pPr>
        <w:spacing w:before="0" w:after="100" w:line="271" w:lineRule="auto"/>
      </w:pPr>
      <w:r>
        <w:rPr>
          <w:rFonts w:ascii="微软雅黑" w:hAnsi="微软雅黑" w:eastAsia="微软雅黑"/>
          <w:b w:val="0"/>
          <w:color w:val="20354A"/>
          <w:sz w:val="20"/>
        </w:rPr>
        <w:t>答： 目前没有真实生产 ROI 数据。试点会先建立人工流程基线，再观察单笔处理时间、人工复核率、信息缺失率、推荐采纳率和错误撤回率，并对比试点前后变化；在取得数据前不承诺节省比例。</w:t>
      </w:r>
    </w:p>
    <w:p w14:paraId="6B65EE03">
      <w:pPr>
        <w:spacing w:before="240" w:after="120" w:line="271" w:lineRule="auto"/>
      </w:pPr>
      <w:r>
        <w:rPr>
          <w:rFonts w:ascii="微软雅黑" w:hAnsi="微软雅黑" w:eastAsia="微软雅黑"/>
          <w:b/>
          <w:color w:val="142A43"/>
          <w:sz w:val="30"/>
        </w:rPr>
        <w:t>三、现场收尾提醒</w:t>
      </w:r>
    </w:p>
    <w:p w14:paraId="4707971E">
      <w:pPr>
        <w:pStyle w:val="16"/>
        <w:spacing w:after="60"/>
      </w:pPr>
      <w:r>
        <w:rPr>
          <w:rFonts w:ascii="微软雅黑" w:hAnsi="微软雅黑" w:eastAsia="微软雅黑"/>
          <w:b w:val="0"/>
          <w:color w:val="20354A"/>
          <w:sz w:val="20"/>
        </w:rPr>
        <w:t>提问涉及准确率时，区分公开集标准答案一致率与无标准答案现场集的运行覆盖。</w:t>
      </w:r>
    </w:p>
    <w:p w14:paraId="3FD95F48">
      <w:pPr>
        <w:pStyle w:val="16"/>
        <w:spacing w:after="60"/>
      </w:pPr>
      <w:r>
        <w:rPr>
          <w:rFonts w:ascii="微软雅黑" w:hAnsi="微软雅黑" w:eastAsia="微软雅黑"/>
          <w:b w:val="0"/>
          <w:color w:val="20354A"/>
          <w:sz w:val="20"/>
        </w:rPr>
        <w:t>提问涉及生产可用时，坦诚说明授权凭证、登录认证和真实数据接口仍需建设。</w:t>
      </w:r>
    </w:p>
    <w:p w14:paraId="5D51C695">
      <w:pPr>
        <w:pStyle w:val="16"/>
        <w:spacing w:after="60"/>
      </w:pPr>
      <w:r>
        <w:rPr>
          <w:rFonts w:ascii="微软雅黑" w:hAnsi="微软雅黑" w:eastAsia="微软雅黑"/>
          <w:b w:val="0"/>
          <w:color w:val="20354A"/>
          <w:sz w:val="20"/>
        </w:rPr>
        <w:t>提问涉及大模型时，强调它不决定准入、排序或授权；规则和 trace 可复核。</w:t>
      </w:r>
    </w:p>
    <w:p w14:paraId="1AEF5567">
      <w:pPr>
        <w:pStyle w:val="16"/>
        <w:spacing w:after="60"/>
      </w:pPr>
      <w:r>
        <w:rPr>
          <w:rFonts w:ascii="微软雅黑" w:hAnsi="微软雅黑" w:eastAsia="微软雅黑"/>
          <w:b w:val="0"/>
          <w:color w:val="20354A"/>
          <w:sz w:val="20"/>
        </w:rPr>
        <w:t>不要承诺 ROI、节省比例或生产准确率；目前没有真实试点数据支持这些结论。</w:t>
      </w:r>
    </w:p>
    <w:p w14:paraId="5C1F7C9D">
      <w:pPr>
        <w:pStyle w:val="16"/>
        <w:numPr>
          <w:numId w:val="0"/>
        </w:numPr>
        <w:spacing w:after="60" w:line="276" w:lineRule="auto"/>
        <w:contextualSpacing/>
        <w:rPr>
          <w:rFonts w:ascii="微软雅黑" w:hAnsi="微软雅黑" w:eastAsia="微软雅黑"/>
          <w:b w:val="0"/>
          <w:color w:val="20354A"/>
          <w:sz w:val="20"/>
        </w:rPr>
      </w:pPr>
    </w:p>
    <w:p w14:paraId="01BEC215">
      <w:pPr>
        <w:pStyle w:val="30"/>
        <w:keepNext w:val="0"/>
        <w:keepLines w:val="0"/>
        <w:widowControl/>
        <w:suppressLineNumbers w:val="0"/>
        <w:shd w:val="clear" w:fill="191A1B"/>
        <w:spacing w:before="0" w:beforeAutospacing="0" w:after="32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我们的技术创新，不是训练一个新大模型，而是重新设计它在融资匹配中的职责：让模型辅助理解和表达，让代码负责关键判断。</w:t>
      </w:r>
    </w:p>
    <w:p w14:paraId="5FDDBE40">
      <w:pPr>
        <w:pStyle w:val="30"/>
        <w:keepNext w:val="0"/>
        <w:keepLines w:val="0"/>
        <w:widowControl/>
        <w:suppressLineNumbers w:val="0"/>
        <w:shd w:val="clear" w:fill="191A1B"/>
        <w:spacing w:before="0" w:beforeAutospacing="0" w:after="32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具体有四点：</w:t>
      </w:r>
    </w:p>
    <w:p w14:paraId="099637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/>
        <w:ind w:left="720" w:right="0" w:hanging="360"/>
      </w:pP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产品条款可追溯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：把产品说明书中的准入条款结构化，预审时依据条款与字段逐项判断，而不是依赖模型临时阅读后给结论。</w:t>
      </w:r>
    </w:p>
    <w:p w14:paraId="107103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/>
        <w:ind w:left="720" w:right="0" w:hanging="360"/>
      </w:pP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模型与规则分权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：模型可以辅助理解需求、补全字段和解释结果；授权校验、产品预审和排序由确定性规则执行，模型输出还要经过代码校验。</w:t>
      </w:r>
    </w:p>
    <w:p w14:paraId="0D38A7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/>
        <w:ind w:left="720" w:right="0" w:hanging="360"/>
      </w:pP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授权和不确定性进入流程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：未授权不读取受限数据；数据缺失或条件无法确认时不猜测放行，而是转人工复核。</w:t>
      </w:r>
    </w:p>
    <w:p w14:paraId="21048E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/>
        <w:ind w:left="720" w:right="0" w:hanging="360"/>
      </w:pP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结果可复核、可降级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：保留规则命中原因和执行记录；不配置模型密钥或模型调用失败时，核心规则流程仍可运行。</w:t>
      </w:r>
    </w:p>
    <w:p w14:paraId="035DB3E2">
      <w:pPr>
        <w:pStyle w:val="30"/>
        <w:keepNext w:val="0"/>
        <w:keepLines w:val="0"/>
        <w:widowControl/>
        <w:suppressLineNumbers w:val="0"/>
        <w:shd w:val="clear" w:fill="191A1B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简单说，创新点是把融资匹配做成一条</w:t>
      </w:r>
      <w:r>
        <w:rPr>
          <w:rStyle w:val="134"/>
          <w:rFonts w:hint="default" w:ascii="sans-serif" w:hAnsi="sans-serif" w:eastAsia="sans-serif" w:cs="sans-serif"/>
          <w:b/>
          <w:bCs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可解释、受约束、可追溯的 Agent 流程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，而非让大模型直接作判断。</w:t>
      </w:r>
    </w:p>
    <w:p w14:paraId="44FCF3FD">
      <w:pPr>
        <w:pStyle w:val="16"/>
        <w:numPr>
          <w:numId w:val="0"/>
        </w:numPr>
        <w:spacing w:after="60" w:line="276" w:lineRule="auto"/>
        <w:contextualSpacing/>
        <w:rPr>
          <w:rFonts w:ascii="微软雅黑" w:hAnsi="微软雅黑" w:eastAsia="微软雅黑"/>
          <w:b w:val="0"/>
          <w:color w:val="20354A"/>
          <w:sz w:val="20"/>
        </w:rPr>
      </w:pPr>
    </w:p>
    <w:sectPr>
      <w:pgSz w:w="12240" w:h="15840"/>
      <w:pgMar w:top="936" w:right="1123" w:bottom="936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EF864"/>
    <w:multiLevelType w:val="multilevel"/>
    <w:tmpl w:val="F46EF8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6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467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Claire</cp:lastModifiedBy>
  <dcterms:modified xsi:type="dcterms:W3CDTF">2026-10-26T09:13:38Z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CA1B4AA69DDBE92342A9DE6AABCF7008_42</vt:lpwstr>
  </property>
</Properties>
</file>