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76C"/>
          <w:sz w:val="36"/>
        </w:rPr>
        <w:t>Prévision du niveau des nappes phréatiques</w:t>
        <w:br/>
        <w:t>par réseaux de neurones</w:t>
      </w:r>
    </w:p>
    <w:p>
      <w:pPr>
        <w:spacing w:after="240"/>
        <w:jc w:val="center"/>
      </w:pPr>
      <w:r>
        <w:rPr>
          <w:rFonts w:ascii="Calibri" w:hAnsi="Calibri"/>
          <w:b w:val="0"/>
          <w:color w:val="555555"/>
          <w:sz w:val="22"/>
        </w:rPr>
        <w:t>Marius — Master 1 — 2025/2026</w:t>
      </w:r>
    </w:p>
    <w:p>
      <w:pPr>
        <w:spacing w:before="280" w:after="80"/>
        <w:pBdr>
          <w:bottom w:val="single" w:sz="6" w:space="4" w:color="1A376C"/>
        </w:pBdr>
      </w:pPr>
      <w:r>
        <w:rPr>
          <w:rFonts w:ascii="Calibri" w:hAnsi="Calibri"/>
          <w:b/>
          <w:color w:val="1A376C"/>
          <w:sz w:val="28"/>
        </w:rPr>
        <w:t>1. Contexte et données</w:t>
      </w:r>
    </w:p>
    <w:p>
      <w:pPr>
        <w:spacing w:after="80"/>
      </w:pPr>
      <w:r>
        <w:rPr>
          <w:rFonts w:ascii="Calibri" w:hAnsi="Calibri"/>
          <w:b w:val="0"/>
          <w:sz w:val="22"/>
        </w:rPr>
        <w:t>L'objectif est de prédire le niveau des nappes phréatiques (GWL, en mètres) à partir de variables environnementales mesurées mensuellement sur des puits australiens.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Jeu de données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2 510 fichiers CSV — un par puit — couvrant l'ensemble du territoire australien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8 régions : VIC (1113 puits), NSW (687), WA (262), QLD (203), SA (198), TAS (19), NT (19), ACT (9)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6 variables par puit : GWL (cible), Date, P (précipitations), T (température), ET (évapotranspiration), NDVI (indice de végétation)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Fichier OUVRAGES.csv : identifiant, latitude, longitude, région de chaque puit</w:t>
      </w:r>
    </w:p>
    <w:p>
      <w:pPr>
        <w:spacing w:after="80"/>
      </w:pPr>
      <w:r>
        <w:rPr>
          <w:rFonts w:ascii="Calibri" w:hAnsi="Calibri"/>
          <w:b w:val="0"/>
          <w:sz w:val="22"/>
        </w:rPr>
        <w:t>Note : de nombreux puits présentent des valeurs manquantes (NaN) dans la colonne GWL, réduisant le nombre de puits exploitables selon les parties.</w:t>
      </w:r>
    </w:p>
    <w:p>
      <w:pPr>
        <w:spacing w:before="280" w:after="80"/>
        <w:pBdr>
          <w:bottom w:val="single" w:sz="6" w:space="4" w:color="1A376C"/>
        </w:pBdr>
      </w:pPr>
      <w:r>
        <w:rPr>
          <w:rFonts w:ascii="Calibri" w:hAnsi="Calibri"/>
          <w:b/>
          <w:color w:val="1A376C"/>
          <w:sz w:val="28"/>
        </w:rPr>
        <w:t>2. Partie 1 — Visualisation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Approche</w:t>
      </w:r>
    </w:p>
    <w:p>
      <w:pPr>
        <w:spacing w:after="80"/>
      </w:pPr>
      <w:r>
        <w:rPr>
          <w:rFonts w:ascii="Calibri" w:hAnsi="Calibri"/>
          <w:b w:val="0"/>
          <w:sz w:val="22"/>
        </w:rPr>
        <w:t>Une fonction générique plot_well(well_id) a été développée pour visualiser n'importe quel puit. Elle génère deux figures de 5 sous-graphiques chacune (un par variable) :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Figure A — Valeurs brutes : courbes avec les unités réelles (m, mm/mois, °C, sans unité)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Figure B — Valeurs normalisées : z-score appliqué colonne par colonne, permettant de comparer des variables d'unités différentes sur un même axe</w:t>
      </w:r>
    </w:p>
    <w:p>
      <w:pPr>
        <w:spacing w:after="80"/>
      </w:pPr>
      <w:r>
        <w:rPr>
          <w:rFonts w:ascii="Calibri" w:hAnsi="Calibri"/>
          <w:b w:val="0"/>
          <w:sz w:val="22"/>
        </w:rPr>
        <w:t>Formule de normalisation (z-score) :</w:t>
      </w:r>
    </w:p>
    <w:p>
      <w:pPr>
        <w:ind w:left="576"/>
      </w:pPr>
      <w:r>
        <w:rPr>
          <w:rFonts w:ascii="Calibri" w:hAnsi="Calibri"/>
          <w:b w:val="0"/>
          <w:sz w:val="22"/>
        </w:rPr>
        <w:t>x̃ = (x − μ) / σ       avec μ = moyenne, σ = écart-type de la séquence</w:t>
      </w:r>
    </w:p>
    <w:p>
      <w:pPr>
        <w:spacing w:after="80"/>
      </w:pPr>
      <w:r>
        <w:rPr>
          <w:rFonts w:ascii="Calibri" w:hAnsi="Calibri"/>
          <w:b w:val="0"/>
          <w:sz w:val="22"/>
        </w:rPr>
        <w:t>La fonction plot_sample() sélectionne automatiquement n puits par région (via OUVRAGES.csv) et sauvegarde les graphiques au format PNG.</w:t>
      </w:r>
    </w:p>
    <w:p>
      <w:pPr>
        <w:spacing w:before="280" w:after="80"/>
        <w:pBdr>
          <w:bottom w:val="single" w:sz="6" w:space="4" w:color="1A376C"/>
        </w:pBdr>
      </w:pPr>
      <w:r>
        <w:rPr>
          <w:rFonts w:ascii="Calibri" w:hAnsi="Calibri"/>
          <w:b/>
          <w:color w:val="1A376C"/>
          <w:sz w:val="28"/>
        </w:rPr>
        <w:t>3. Partie 2a — Modèle LSTM générique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Approche</w:t>
      </w:r>
    </w:p>
    <w:p>
      <w:pPr>
        <w:spacing w:after="80"/>
      </w:pPr>
      <w:r>
        <w:rPr>
          <w:rFonts w:ascii="Calibri" w:hAnsi="Calibri"/>
          <w:b w:val="0"/>
          <w:sz w:val="22"/>
        </w:rPr>
        <w:t>Un unique réseau LSTM est entraîné sur l'ensemble des puits australiens (modèle générique). Il apprend à prédire GWL à partir des variables environnementales passées.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Découpage train/test : toute la chronique moins les 12 derniers mois pour l'entraînement, les 12 derniers mois pour le test (conforme aux consignes)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Features d'entrée : P, T, ET, NDVI + latitude normalisée + longitude normalisée (6 variables)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Cible : GWL au mois suivant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Séquences glissantes de 12 mois (SEQ_LEN = 12)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Normalisation z-score par puit et par variable, calculée sur les données d'entraînement uniquement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Architecture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Type : LSTM (Long Short-Term Memory) — réseau récurrent avec mémoire à long terme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Configuration finale (issue du grid search) : 3 couches, hidden=128, dropout=0.2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Couche de sortie : fully connected (128 → 1) — prédit une valeur scalaire GWL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Optimiseur : Adam | Fonction de perte : MSE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Grid Search — 108 combinaisons testées</w:t>
      </w:r>
    </w:p>
    <w:p>
      <w:pPr>
        <w:spacing w:after="80"/>
      </w:pPr>
      <w:r>
        <w:rPr>
          <w:rFonts w:ascii="Calibri" w:hAnsi="Calibri"/>
          <w:b w:val="0"/>
          <w:sz w:val="22"/>
        </w:rPr>
        <w:t>Recherche exhaustive sur la grille suivante, résultats sauvegardés dans grid_search_results.csv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Hyperparamètre</w:t>
            </w:r>
          </w:p>
        </w:tc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Valeurs testées</w:t>
            </w:r>
          </w:p>
        </w:tc>
        <w:tc>
          <w:tcPr>
            <w:tcW w:type="dxa" w:w="2551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Meilleure valeur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hidden (neurones/couche)</w:t>
            </w:r>
          </w:p>
        </w:tc>
        <w:tc>
          <w:tcPr>
            <w:tcW w:type="dxa" w:w="311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64, 128, 256</w:t>
            </w:r>
          </w:p>
        </w:tc>
        <w:tc>
          <w:tcPr>
            <w:tcW w:type="dxa" w:w="2551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128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n_layers (couches LSTM)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1, 2, 3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lr (learning rate)</w:t>
            </w:r>
          </w:p>
        </w:tc>
        <w:tc>
          <w:tcPr>
            <w:tcW w:type="dxa" w:w="311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1e-3, 5e-4, 1e-4</w:t>
            </w:r>
          </w:p>
        </w:tc>
        <w:tc>
          <w:tcPr>
            <w:tcW w:type="dxa" w:w="2551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5e-4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batch_size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256, 512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512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epochs</w:t>
            </w:r>
          </w:p>
        </w:tc>
        <w:tc>
          <w:tcPr>
            <w:tcW w:type="dxa" w:w="311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30, 50</w:t>
            </w:r>
          </w:p>
        </w:tc>
        <w:tc>
          <w:tcPr>
            <w:tcW w:type="dxa" w:w="2551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30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Optimisation GPU</w:t>
      </w:r>
    </w:p>
    <w:p>
      <w:pPr>
        <w:spacing w:after="80"/>
      </w:pPr>
      <w:r>
        <w:rPr>
          <w:rFonts w:ascii="Calibri" w:hAnsi="Calibri"/>
          <w:b w:val="0"/>
          <w:sz w:val="22"/>
        </w:rPr>
        <w:t>Le dataset complet a été préchargé en VRAM (RTX 5070 Ti — 16 Go) sous forme de tenseurs PyTorch. Le batching est effectué directement sur la GPU via torch.randperm(), éliminant tout transfert CPU→GPU pendant l'entraînement.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Résultats — 854 puits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Métrique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Moyenne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Écart-type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Médiane</w:t>
            </w:r>
          </w:p>
        </w:tc>
      </w:tr>
      <w:tr>
        <w:tc>
          <w:tcPr>
            <w:tcW w:type="dxa" w:w="2835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RMSE (m)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0.805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±0.968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0.440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MAE (m)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0.686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±0.869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0.356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sz w:val="22"/>
        </w:rPr>
        <w:t>La médiane est privilégiée : l'écart-type élevé indique la présence de quelques puits très difficiles à prédire qui tirent la moyenne vers le haut.</w:t>
      </w:r>
    </w:p>
    <w:p>
      <w:pPr>
        <w:spacing w:before="280" w:after="80"/>
        <w:pBdr>
          <w:bottom w:val="single" w:sz="6" w:space="4" w:color="1A376C"/>
        </w:pBdr>
      </w:pPr>
      <w:r>
        <w:rPr>
          <w:rFonts w:ascii="Calibri" w:hAnsi="Calibri"/>
          <w:b/>
          <w:color w:val="1A376C"/>
          <w:sz w:val="28"/>
        </w:rPr>
        <w:t>4. Partie 2b — Chronos 2 (Foundation Model)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Approche</w:t>
      </w:r>
    </w:p>
    <w:p>
      <w:pPr>
        <w:spacing w:after="80"/>
      </w:pPr>
      <w:r>
        <w:rPr>
          <w:rFonts w:ascii="Calibri" w:hAnsi="Calibri"/>
          <w:b w:val="0"/>
          <w:sz w:val="22"/>
        </w:rPr>
        <w:t>Utilisation du modèle pré-entraîné amazon/chronos-bolt-small issu de la librairie chronos-forecasting (v2.2.2). Aucun entraînement sur nos données.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Modèle univarié : seul l'historique GWL est utilisé comme contexte (pas P, T, ET, NDVI)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Prédiction zero-shot : le modèle prédit directement sans fine-tuning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Contexte : toutes les valeurs GWL non-NaN avant les 12 derniers mois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Prédiction probabiliste : N scénarios générés → médiane retenue comme prédiction finale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Traitement par batch de 32 puits en parallèle sur GPU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Critère d'inclusion : minimum 24 mois de GWL non-NaN dans la période d'entraînement</w:t>
      </w:r>
    </w:p>
    <w:p>
      <w:pPr>
        <w:spacing w:before="160" w:after="40"/>
      </w:pPr>
      <w:r>
        <w:rPr>
          <w:rFonts w:ascii="Calibri" w:hAnsi="Calibri"/>
          <w:b/>
          <w:color w:val="276FBF"/>
          <w:sz w:val="24"/>
        </w:rPr>
        <w:t>Résultats — 1 174 puits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Métrique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Moyenne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Écart-type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Médiane</w:t>
            </w:r>
          </w:p>
        </w:tc>
      </w:tr>
      <w:tr>
        <w:tc>
          <w:tcPr>
            <w:tcW w:type="dxa" w:w="2835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RMSE (m)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0.673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±0.973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0.301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MAE (m)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0.578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±0.847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0.248</w:t>
            </w:r>
          </w:p>
        </w:tc>
      </w:tr>
    </w:tbl>
    <w:p>
      <w:pPr>
        <w:spacing w:before="280" w:after="80"/>
        <w:pBdr>
          <w:bottom w:val="single" w:sz="6" w:space="4" w:color="1A376C"/>
        </w:pBdr>
      </w:pPr>
      <w:r>
        <w:rPr>
          <w:rFonts w:ascii="Calibri" w:hAnsi="Calibri"/>
          <w:b/>
          <w:color w:val="1A376C"/>
          <w:sz w:val="28"/>
        </w:rPr>
        <w:t>5. Comparaison et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Métrique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LSTM (2a)</w:t>
            </w:r>
          </w:p>
        </w:tc>
        <w:tc>
          <w:tcPr>
            <w:tcW w:type="dxa" w:w="2268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Chronos 2 (2b)</w:t>
            </w:r>
          </w:p>
        </w:tc>
        <w:tc>
          <w:tcPr>
            <w:tcW w:type="dxa" w:w="1984"/>
            <w:shd w:val="clear" w:color="auto" w:fill="1A376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Gain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RMSE moyen (m)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0.805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0.673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E865A"/>
                <w:sz w:val="22"/>
              </w:rPr>
              <w:t>−16 %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MAE moyen (m)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0.686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0.578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E865A"/>
                <w:sz w:val="22"/>
              </w:rPr>
              <w:t>−16 %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RMSE médian (m)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0.440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0.301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E865A"/>
                <w:sz w:val="22"/>
              </w:rPr>
              <w:t>−32 %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MAE médian (m)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0.356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0.248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E865A"/>
                <w:sz w:val="22"/>
              </w:rPr>
              <w:t>−30 %</w:t>
            </w:r>
          </w:p>
        </w:tc>
      </w:tr>
      <w:tr>
        <w:tc>
          <w:tcPr>
            <w:tcW w:type="dxa" w:w="3118"/>
            <w:shd w:val="clear" w:color="auto" w:fill="F2F4F8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Puits évalués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854</w:t>
            </w:r>
          </w:p>
        </w:tc>
        <w:tc>
          <w:tcPr>
            <w:tcW w:type="dxa" w:w="2268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1 174</w:t>
            </w:r>
          </w:p>
        </w:tc>
        <w:tc>
          <w:tcPr>
            <w:tcW w:type="dxa" w:w="1984"/>
            <w:shd w:val="clear" w:color="auto" w:fill="F2F4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Chronos 2 surpasse le LSTM sur l'ensemble des métriques, avec une réduction d'erreur de 30 à 32 % sur les médianes. Ce résultat est d'autant plus remarquable que :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Chronos n'utilise que l'historique GWL (univarié), sans accès aux variables météo ni GPS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Aucun entraînement sur les données australiennes n'a été effectué (zero-shot)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sz w:val="22"/>
        </w:rPr>
        <w:t>Le LSTM dispose pourtant de 6 features d'entrée et de 30 epochs d'entraînement</w:t>
      </w:r>
    </w:p>
    <w:p>
      <w:pPr>
        <w:spacing w:after="80"/>
      </w:pPr>
      <w:r>
        <w:rPr>
          <w:rFonts w:ascii="Calibri" w:hAnsi="Calibri"/>
          <w:b w:val="0"/>
          <w:sz w:val="22"/>
        </w:rPr>
        <w:t>Explication : les nappes phréatiques présentent des patterns temporels réguliers (cycles saisonniers, tendances lentes) que Chronos 2 reconnaît grâce à son pré-entraînement sur des milliers de séries temporelles diverses. Le LSTM doit apprendre ces patterns depuis zéro avec un volume de données relatif limité.</w:t>
      </w:r>
    </w:p>
    <w:p>
      <w:pPr>
        <w:spacing w:after="80"/>
      </w:pPr>
      <w:r>
        <w:rPr>
          <w:rFonts w:ascii="Calibri" w:hAnsi="Calibri"/>
          <w:b w:val="0"/>
          <w:sz w:val="22"/>
        </w:rPr>
        <w:t>Limite de la comparaison : les ensembles de puits évalués diffèrent (854 pour le LSTM, 1174 pour Chronos) en raison de critères d'inclusion différents. Une comparaison stricte sur le même sous-ensemble de puits renforcerait la validité des conclusions.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