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AE6C" w14:textId="74AA83A5" w:rsidR="00C8490E" w:rsidRDefault="00C8490E" w:rsidP="000E44D7">
      <w:pPr>
        <w:rPr>
          <w:rFonts w:ascii="Times New Roman" w:hAnsi="Times New Roman" w:cs="Times New Roman"/>
        </w:rPr>
      </w:pPr>
      <w:bookmarkStart w:id="0" w:name="ref-boyd2008narrowing"/>
      <w:bookmarkStart w:id="1" w:name="refs"/>
    </w:p>
    <w:p w14:paraId="0472796C" w14:textId="77777777" w:rsidR="00486BC4" w:rsidRPr="00486BC4" w:rsidRDefault="00486BC4" w:rsidP="00486BC4">
      <w:pPr>
        <w:rPr>
          <w:rFonts w:ascii="Times New Roman" w:eastAsia="Times New Roman" w:hAnsi="Times New Roman" w:cs="Times New Roman"/>
          <w:color w:val="000000"/>
        </w:rPr>
      </w:pPr>
      <w:r w:rsidRPr="00486BC4">
        <w:rPr>
          <w:rFonts w:ascii="Times New Roman" w:eastAsia="Times New Roman" w:hAnsi="Times New Roman" w:cs="Times New Roman"/>
          <w:color w:val="000000"/>
        </w:rPr>
        <w:t>Background</w:t>
      </w:r>
    </w:p>
    <w:p w14:paraId="36A8D58A" w14:textId="77777777" w:rsidR="00486BC4" w:rsidRPr="00486BC4" w:rsidRDefault="00486BC4" w:rsidP="00486BC4">
      <w:pPr>
        <w:rPr>
          <w:rFonts w:ascii="Times New Roman" w:eastAsia="Times New Roman" w:hAnsi="Times New Roman" w:cs="Times New Roman"/>
          <w:color w:val="000000"/>
        </w:rPr>
      </w:pPr>
    </w:p>
    <w:p w14:paraId="0614D68B" w14:textId="77777777" w:rsidR="00486BC4" w:rsidRPr="00486BC4" w:rsidRDefault="00486BC4" w:rsidP="00486BC4">
      <w:pPr>
        <w:rPr>
          <w:rFonts w:ascii="Times New Roman" w:eastAsia="Times New Roman" w:hAnsi="Times New Roman" w:cs="Times New Roman"/>
          <w:color w:val="000000"/>
        </w:rPr>
      </w:pPr>
      <w:r w:rsidRPr="00486BC4">
        <w:rPr>
          <w:rFonts w:ascii="Times New Roman" w:eastAsia="Times New Roman" w:hAnsi="Times New Roman" w:cs="Times New Roman"/>
          <w:color w:val="000000"/>
        </w:rPr>
        <w:t xml:space="preserve">In most school human resources policies across the world, teacher human capital </w:t>
      </w:r>
      <w:proofErr w:type="gramStart"/>
      <w:r w:rsidRPr="00486BC4">
        <w:rPr>
          <w:rFonts w:ascii="Times New Roman" w:eastAsia="Times New Roman" w:hAnsi="Times New Roman" w:cs="Times New Roman"/>
          <w:color w:val="000000"/>
        </w:rPr>
        <w:t>characteristics  -</w:t>
      </w:r>
      <w:proofErr w:type="gramEnd"/>
      <w:r w:rsidRPr="00486BC4">
        <w:rPr>
          <w:rFonts w:ascii="Times New Roman" w:eastAsia="Times New Roman" w:hAnsi="Times New Roman" w:cs="Times New Roman"/>
          <w:color w:val="000000"/>
        </w:rPr>
        <w:t xml:space="preserve"> such as education background and teaching experience - constantly play a central role. This is likely </w:t>
      </w:r>
      <w:proofErr w:type="gramStart"/>
      <w:r w:rsidRPr="00486BC4">
        <w:rPr>
          <w:rFonts w:ascii="Times New Roman" w:eastAsia="Times New Roman" w:hAnsi="Times New Roman" w:cs="Times New Roman"/>
          <w:color w:val="000000"/>
        </w:rPr>
        <w:t>due to the fact that</w:t>
      </w:r>
      <w:proofErr w:type="gramEnd"/>
      <w:r w:rsidRPr="00486BC4">
        <w:rPr>
          <w:rFonts w:ascii="Times New Roman" w:eastAsia="Times New Roman" w:hAnsi="Times New Roman" w:cs="Times New Roman"/>
          <w:color w:val="000000"/>
        </w:rPr>
        <w:t xml:space="preserve"> teacher characteristics are relatively accurate and straightforward measures, which are practical and computational cheaper than direct teacher quality measures such as value-added models, classroom observations, and student/parent surveys (Rice, 2013). Either explicitly or implicitly, however, these characteristics-based policies assume that education attainment and experience improve a teacher’s knowledge, skills, and productivity, which is not strongly supported by scientific research. In fact, research consistently shows that human capital measures frequently used in teacher evaluation and compensation explain little of a teacher's contribution to student academic growth (Aaronson et al., 2007). </w:t>
      </w:r>
    </w:p>
    <w:p w14:paraId="687749F1" w14:textId="77777777" w:rsidR="00486BC4" w:rsidRPr="00486BC4" w:rsidRDefault="00486BC4" w:rsidP="00486BC4">
      <w:pPr>
        <w:rPr>
          <w:rFonts w:ascii="Times New Roman" w:eastAsia="Times New Roman" w:hAnsi="Times New Roman" w:cs="Times New Roman"/>
          <w:color w:val="000000"/>
        </w:rPr>
      </w:pPr>
    </w:p>
    <w:p w14:paraId="435C8C46" w14:textId="77777777" w:rsidR="00486BC4" w:rsidRPr="00486BC4" w:rsidRDefault="00486BC4" w:rsidP="00486BC4">
      <w:pPr>
        <w:rPr>
          <w:rFonts w:ascii="Times New Roman" w:eastAsia="Times New Roman" w:hAnsi="Times New Roman" w:cs="Times New Roman"/>
          <w:color w:val="000000"/>
        </w:rPr>
      </w:pPr>
      <w:r w:rsidRPr="00486BC4">
        <w:rPr>
          <w:rFonts w:ascii="Times New Roman" w:eastAsia="Times New Roman" w:hAnsi="Times New Roman" w:cs="Times New Roman"/>
          <w:color w:val="000000"/>
        </w:rPr>
        <w:t>The answer to whether teacher education attainment and experience have causal impact on student learning requires greater nuance and more accurate estimates. The relationships between teacher characteristics and student performance are rarely linear: whereas some researchers detected no relationship between teacher’s education attainment (Aaronson et al., 2007) or experience (Aaronson et al., 2007) and student performance, some researchers found evidence that teachers who obtained graduate degree (Guarino et al., 2013) improve student learning and the impact of experience is strongest in a teacher’s early career (</w:t>
      </w:r>
      <w:proofErr w:type="spellStart"/>
      <w:r w:rsidRPr="00486BC4">
        <w:rPr>
          <w:rFonts w:ascii="Times New Roman" w:eastAsia="Times New Roman" w:hAnsi="Times New Roman" w:cs="Times New Roman"/>
          <w:color w:val="000000"/>
        </w:rPr>
        <w:t>Papay</w:t>
      </w:r>
      <w:proofErr w:type="spellEnd"/>
      <w:r w:rsidRPr="00486BC4">
        <w:rPr>
          <w:rFonts w:ascii="Times New Roman" w:eastAsia="Times New Roman" w:hAnsi="Times New Roman" w:cs="Times New Roman"/>
          <w:color w:val="000000"/>
        </w:rPr>
        <w:t xml:space="preserve"> and Kraft, 2015). Moreover, research shows that the relations between teacher experience and student learning vary across levels of education (Harris and Sass, 2011) and subject areas (Clotfelter et al., 2007). Lastly and most importantly, the relationships observed between teacher characteristics and change in student learning are unstable because they are biased by the fact that higher performing and more motivated students often have more access to teachers with higher human capital profile. </w:t>
      </w:r>
    </w:p>
    <w:p w14:paraId="507E3E95" w14:textId="77777777" w:rsidR="00486BC4" w:rsidRPr="00486BC4" w:rsidRDefault="00486BC4" w:rsidP="00486BC4">
      <w:pPr>
        <w:rPr>
          <w:rFonts w:ascii="Times New Roman" w:eastAsia="Times New Roman" w:hAnsi="Times New Roman" w:cs="Times New Roman"/>
          <w:color w:val="000000"/>
        </w:rPr>
      </w:pPr>
    </w:p>
    <w:p w14:paraId="1633BC37" w14:textId="77777777" w:rsidR="00486BC4" w:rsidRPr="00486BC4" w:rsidRDefault="00486BC4" w:rsidP="00486BC4">
      <w:pPr>
        <w:rPr>
          <w:rFonts w:ascii="Times New Roman" w:eastAsia="Times New Roman" w:hAnsi="Times New Roman" w:cs="Times New Roman"/>
          <w:color w:val="000000"/>
        </w:rPr>
      </w:pPr>
      <w:r w:rsidRPr="00486BC4">
        <w:rPr>
          <w:rFonts w:ascii="Times New Roman" w:eastAsia="Times New Roman" w:hAnsi="Times New Roman" w:cs="Times New Roman"/>
          <w:color w:val="000000"/>
        </w:rPr>
        <w:t>Significance</w:t>
      </w:r>
    </w:p>
    <w:p w14:paraId="59C8348A" w14:textId="77777777" w:rsidR="00486BC4" w:rsidRPr="00486BC4" w:rsidRDefault="00486BC4" w:rsidP="00486BC4">
      <w:pPr>
        <w:rPr>
          <w:rFonts w:ascii="Times New Roman" w:eastAsia="Times New Roman" w:hAnsi="Times New Roman" w:cs="Times New Roman"/>
          <w:color w:val="000000"/>
        </w:rPr>
      </w:pPr>
    </w:p>
    <w:p w14:paraId="70947290" w14:textId="77777777" w:rsidR="00486BC4" w:rsidRPr="00486BC4" w:rsidRDefault="00486BC4" w:rsidP="00486BC4">
      <w:pPr>
        <w:rPr>
          <w:rFonts w:ascii="Times New Roman" w:eastAsia="Times New Roman" w:hAnsi="Times New Roman" w:cs="Times New Roman"/>
          <w:color w:val="000000"/>
        </w:rPr>
      </w:pPr>
      <w:r w:rsidRPr="00486BC4">
        <w:rPr>
          <w:rFonts w:ascii="Times New Roman" w:eastAsia="Times New Roman" w:hAnsi="Times New Roman" w:cs="Times New Roman"/>
          <w:color w:val="000000"/>
        </w:rPr>
        <w:t xml:space="preserve">Our study is among a rigorous literature body that contributes to the understanding of the causal impact of teacher education attainment and experience on student academic outcomes. We make at least three efforts to obtain accurate and precise estimates of teacher effects. First, we effectively address threats to internal validity by leveraging a random assignment of teachers to students that is enforced by a national policy and confirmed in a nationally representative, longitudinal, student-level data from China. Second, given random assignment, we </w:t>
      </w:r>
      <w:proofErr w:type="gramStart"/>
      <w:r w:rsidRPr="00486BC4">
        <w:rPr>
          <w:rFonts w:ascii="Times New Roman" w:eastAsia="Times New Roman" w:hAnsi="Times New Roman" w:cs="Times New Roman"/>
          <w:color w:val="000000"/>
        </w:rPr>
        <w:t>are able to</w:t>
      </w:r>
      <w:proofErr w:type="gramEnd"/>
      <w:r w:rsidRPr="00486BC4">
        <w:rPr>
          <w:rFonts w:ascii="Times New Roman" w:eastAsia="Times New Roman" w:hAnsi="Times New Roman" w:cs="Times New Roman"/>
          <w:color w:val="000000"/>
        </w:rPr>
        <w:t xml:space="preserve"> use between-teacher variation to estimate teacher effects without having to make strict assumptions like traditional teacher effect studies do when they rely on within-teacher variations (see Ladd and Sorensen, 2017; </w:t>
      </w:r>
      <w:proofErr w:type="spellStart"/>
      <w:r w:rsidRPr="00486BC4">
        <w:rPr>
          <w:rFonts w:ascii="Times New Roman" w:eastAsia="Times New Roman" w:hAnsi="Times New Roman" w:cs="Times New Roman"/>
          <w:color w:val="000000"/>
        </w:rPr>
        <w:t>Papay</w:t>
      </w:r>
      <w:proofErr w:type="spellEnd"/>
      <w:r w:rsidRPr="00486BC4">
        <w:rPr>
          <w:rFonts w:ascii="Times New Roman" w:eastAsia="Times New Roman" w:hAnsi="Times New Roman" w:cs="Times New Roman"/>
          <w:color w:val="000000"/>
        </w:rPr>
        <w:t xml:space="preserve"> and Kraft, 2015). Third, we model teacher education attainment and experience in different formats (continuous and categorical) to understand more beyond their linear effects on student outcomes. Fourth, we control for school fixed-effects to account for systematic difference across schools and a rich set of student-, homeroom-, and teacher-level covariates to improve estimation precision, here, the most important to note is the cubic polynomial functions of four scores (in three core content subjects and cognitive test) in prior year that effectively absorb noise from individual learning ability. </w:t>
      </w:r>
    </w:p>
    <w:p w14:paraId="09FBF5C0" w14:textId="77777777" w:rsidR="00486BC4" w:rsidRPr="00486BC4" w:rsidRDefault="00486BC4" w:rsidP="00486BC4">
      <w:pPr>
        <w:rPr>
          <w:rFonts w:ascii="Times New Roman" w:eastAsia="Times New Roman" w:hAnsi="Times New Roman" w:cs="Times New Roman"/>
          <w:color w:val="000000"/>
        </w:rPr>
      </w:pPr>
    </w:p>
    <w:p w14:paraId="220F8EE8" w14:textId="77777777" w:rsidR="00486BC4" w:rsidRPr="00486BC4" w:rsidRDefault="00486BC4" w:rsidP="00486BC4">
      <w:pPr>
        <w:rPr>
          <w:rFonts w:ascii="Times New Roman" w:eastAsia="Times New Roman" w:hAnsi="Times New Roman" w:cs="Times New Roman"/>
          <w:color w:val="000000"/>
        </w:rPr>
      </w:pPr>
      <w:r w:rsidRPr="00486BC4">
        <w:rPr>
          <w:rFonts w:ascii="Times New Roman" w:eastAsia="Times New Roman" w:hAnsi="Times New Roman" w:cs="Times New Roman"/>
          <w:color w:val="000000"/>
        </w:rPr>
        <w:lastRenderedPageBreak/>
        <w:t>Research Questions</w:t>
      </w:r>
    </w:p>
    <w:p w14:paraId="49EA310C" w14:textId="77777777" w:rsidR="00486BC4" w:rsidRPr="00486BC4" w:rsidRDefault="00486BC4" w:rsidP="00486BC4">
      <w:pPr>
        <w:rPr>
          <w:rFonts w:ascii="Times New Roman" w:eastAsia="Times New Roman" w:hAnsi="Times New Roman" w:cs="Times New Roman"/>
          <w:color w:val="000000"/>
        </w:rPr>
      </w:pPr>
    </w:p>
    <w:p w14:paraId="3868803D" w14:textId="77777777" w:rsidR="00486BC4" w:rsidRPr="00486BC4" w:rsidRDefault="00486BC4" w:rsidP="00486BC4">
      <w:pPr>
        <w:rPr>
          <w:rFonts w:ascii="Times New Roman" w:eastAsia="Times New Roman" w:hAnsi="Times New Roman" w:cs="Times New Roman"/>
          <w:color w:val="000000"/>
        </w:rPr>
      </w:pPr>
      <w:r w:rsidRPr="00486BC4">
        <w:rPr>
          <w:rFonts w:ascii="Times New Roman" w:eastAsia="Times New Roman" w:hAnsi="Times New Roman" w:cs="Times New Roman"/>
          <w:color w:val="000000"/>
        </w:rPr>
        <w:t>Specifically, we answer two research questions:</w:t>
      </w:r>
    </w:p>
    <w:p w14:paraId="1C0C66B3" w14:textId="77777777" w:rsidR="00486BC4" w:rsidRPr="00486BC4" w:rsidRDefault="00486BC4" w:rsidP="00486BC4">
      <w:pPr>
        <w:numPr>
          <w:ilvl w:val="0"/>
          <w:numId w:val="8"/>
        </w:numPr>
        <w:textAlignment w:val="baseline"/>
        <w:rPr>
          <w:rFonts w:ascii="Times New Roman" w:eastAsia="Times New Roman" w:hAnsi="Times New Roman" w:cs="Times New Roman"/>
          <w:color w:val="000000"/>
        </w:rPr>
      </w:pPr>
      <w:r w:rsidRPr="00486BC4">
        <w:rPr>
          <w:rFonts w:ascii="Times New Roman" w:eastAsia="Times New Roman" w:hAnsi="Times New Roman" w:cs="Times New Roman"/>
          <w:color w:val="000000"/>
        </w:rPr>
        <w:t>Whether and to what extent teacher education attainment impacts student academic performance and confidence?</w:t>
      </w:r>
    </w:p>
    <w:p w14:paraId="22CC9FE5" w14:textId="77777777" w:rsidR="00486BC4" w:rsidRPr="00486BC4" w:rsidRDefault="00486BC4" w:rsidP="00486BC4">
      <w:pPr>
        <w:numPr>
          <w:ilvl w:val="0"/>
          <w:numId w:val="8"/>
        </w:numPr>
        <w:textAlignment w:val="baseline"/>
        <w:rPr>
          <w:rFonts w:ascii="Times New Roman" w:eastAsia="Times New Roman" w:hAnsi="Times New Roman" w:cs="Times New Roman"/>
          <w:color w:val="000000"/>
        </w:rPr>
      </w:pPr>
      <w:r w:rsidRPr="00486BC4">
        <w:rPr>
          <w:rFonts w:ascii="Times New Roman" w:eastAsia="Times New Roman" w:hAnsi="Times New Roman" w:cs="Times New Roman"/>
          <w:color w:val="000000"/>
        </w:rPr>
        <w:t>Whether and to what extent teacher teaching experience impacts student academic performance and confidence?</w:t>
      </w:r>
    </w:p>
    <w:p w14:paraId="1F1ED6E1" w14:textId="77777777" w:rsidR="00486BC4" w:rsidRPr="00486BC4" w:rsidRDefault="00486BC4" w:rsidP="00486BC4">
      <w:pPr>
        <w:rPr>
          <w:rFonts w:ascii="Times New Roman" w:eastAsia="Times New Roman" w:hAnsi="Times New Roman" w:cs="Times New Roman"/>
          <w:color w:val="000000"/>
        </w:rPr>
      </w:pPr>
    </w:p>
    <w:p w14:paraId="7D264289" w14:textId="77777777" w:rsidR="00486BC4" w:rsidRPr="00486BC4" w:rsidRDefault="00486BC4" w:rsidP="00486BC4">
      <w:pPr>
        <w:rPr>
          <w:rFonts w:ascii="Times New Roman" w:eastAsia="Times New Roman" w:hAnsi="Times New Roman" w:cs="Times New Roman"/>
          <w:color w:val="000000"/>
        </w:rPr>
      </w:pPr>
      <w:r w:rsidRPr="00486BC4">
        <w:rPr>
          <w:rFonts w:ascii="Times New Roman" w:eastAsia="Times New Roman" w:hAnsi="Times New Roman" w:cs="Times New Roman"/>
          <w:color w:val="000000"/>
        </w:rPr>
        <w:t>Data and Measures</w:t>
      </w:r>
    </w:p>
    <w:p w14:paraId="3FD388F1" w14:textId="77777777" w:rsidR="00486BC4" w:rsidRPr="00486BC4" w:rsidRDefault="00486BC4" w:rsidP="00486BC4">
      <w:pPr>
        <w:rPr>
          <w:rFonts w:ascii="Times New Roman" w:eastAsia="Times New Roman" w:hAnsi="Times New Roman" w:cs="Times New Roman"/>
          <w:color w:val="000000"/>
        </w:rPr>
      </w:pPr>
    </w:p>
    <w:p w14:paraId="3139531A" w14:textId="77777777" w:rsidR="00486BC4" w:rsidRPr="00486BC4" w:rsidRDefault="00486BC4" w:rsidP="00486BC4">
      <w:pPr>
        <w:ind w:left="-5"/>
        <w:rPr>
          <w:rFonts w:ascii="Times New Roman" w:eastAsia="Times New Roman" w:hAnsi="Times New Roman" w:cs="Times New Roman"/>
          <w:color w:val="000000"/>
        </w:rPr>
      </w:pPr>
      <w:r w:rsidRPr="00486BC4">
        <w:rPr>
          <w:rFonts w:ascii="Arial" w:eastAsia="Times New Roman" w:hAnsi="Arial" w:cs="Arial"/>
          <w:color w:val="000000"/>
          <w:sz w:val="22"/>
          <w:szCs w:val="22"/>
        </w:rPr>
        <w:t xml:space="preserve">We drew our sample from China Education Panel Survey (CEPS), China’s first nationally representative, longitudinal data of middle school students (more details in Appendix B Data Description). We focus on the baseline 7th grade students who were successfully followed up in 2014-15 (follow-up rate 91.93%) and restrict the sample to be in 63 public schools that not only reported random assignment of teachers to students before 7th grade began but also did not allow student within-school sorting from 2013-14 to 2014-15. Note that we do not worry about </w:t>
      </w:r>
      <w:r w:rsidRPr="00486BC4">
        <w:rPr>
          <w:rFonts w:ascii="Calibri" w:eastAsia="Times New Roman" w:hAnsi="Calibri" w:cs="Calibri"/>
          <w:color w:val="000000"/>
        </w:rPr>
        <w:t>across-school sorting because school fixed effects absorb any time-invariant factors that drive students sorting in or out of school</w:t>
      </w:r>
      <w:r w:rsidRPr="00486BC4">
        <w:rPr>
          <w:rFonts w:ascii="Arial" w:eastAsia="Times New Roman" w:hAnsi="Arial" w:cs="Arial"/>
          <w:color w:val="000000"/>
          <w:sz w:val="22"/>
          <w:szCs w:val="22"/>
        </w:rPr>
        <w:t>. </w:t>
      </w:r>
    </w:p>
    <w:p w14:paraId="7F35E635" w14:textId="77777777" w:rsidR="00486BC4" w:rsidRPr="00486BC4" w:rsidRDefault="00486BC4" w:rsidP="00486BC4">
      <w:pPr>
        <w:rPr>
          <w:rFonts w:ascii="Times New Roman" w:eastAsia="Times New Roman" w:hAnsi="Times New Roman" w:cs="Times New Roman"/>
          <w:color w:val="000000"/>
        </w:rPr>
      </w:pPr>
    </w:p>
    <w:p w14:paraId="51CD7052" w14:textId="77777777" w:rsidR="00486BC4" w:rsidRPr="00486BC4" w:rsidRDefault="00486BC4" w:rsidP="00486BC4">
      <w:pPr>
        <w:ind w:left="-5"/>
        <w:rPr>
          <w:rFonts w:ascii="Times New Roman" w:eastAsia="Times New Roman" w:hAnsi="Times New Roman" w:cs="Times New Roman"/>
          <w:color w:val="000000"/>
        </w:rPr>
      </w:pPr>
      <w:r w:rsidRPr="00486BC4">
        <w:rPr>
          <w:rFonts w:ascii="Arial" w:eastAsia="Times New Roman" w:hAnsi="Arial" w:cs="Arial"/>
          <w:color w:val="000000"/>
          <w:sz w:val="22"/>
          <w:szCs w:val="22"/>
        </w:rPr>
        <w:t>We obtain three separate samples by matching students with their Chinese, English, and math teachers. Missing rate on all key variables was below 2% except for two variables, teacher experience and student age, which were missing at 2-3%. We dropped all observations that had any missing value on predictor and outcome variables and replaced missing values on other variables with leave-one-out mean within homeroom (for student variables) or school (for teacher variables). We are left with 4,754, 4,855, and 4,887 students in Chinese, English, and math sample, respectively. Summary statistics of key variables are presented in Table 1. The distributions of student observations by teacher education and experience are visualized in Figure 1 and 2. </w:t>
      </w:r>
    </w:p>
    <w:p w14:paraId="515AD760" w14:textId="77777777" w:rsidR="00486BC4" w:rsidRPr="00486BC4" w:rsidRDefault="00486BC4" w:rsidP="00486BC4">
      <w:pPr>
        <w:rPr>
          <w:rFonts w:ascii="Times New Roman" w:eastAsia="Times New Roman" w:hAnsi="Times New Roman" w:cs="Times New Roman"/>
          <w:color w:val="000000"/>
        </w:rPr>
      </w:pPr>
    </w:p>
    <w:p w14:paraId="250552B2" w14:textId="77777777" w:rsidR="00486BC4" w:rsidRPr="00486BC4" w:rsidRDefault="00486BC4" w:rsidP="00486BC4">
      <w:pPr>
        <w:rPr>
          <w:rFonts w:ascii="Times New Roman" w:eastAsia="Times New Roman" w:hAnsi="Times New Roman" w:cs="Times New Roman"/>
          <w:color w:val="000000"/>
        </w:rPr>
      </w:pPr>
      <w:r w:rsidRPr="00486BC4">
        <w:rPr>
          <w:rFonts w:ascii="Calibri" w:eastAsia="Times New Roman" w:hAnsi="Calibri" w:cs="Calibri"/>
          <w:b/>
          <w:bCs/>
          <w:i/>
          <w:iCs/>
          <w:color w:val="000000"/>
        </w:rPr>
        <w:t>Predictor variables</w:t>
      </w:r>
      <w:r w:rsidRPr="00486BC4">
        <w:rPr>
          <w:rFonts w:ascii="Calibri" w:eastAsia="Times New Roman" w:hAnsi="Calibri" w:cs="Calibri"/>
          <w:color w:val="000000"/>
        </w:rPr>
        <w:t>. Teacher education attainment is measured by three variables: education in years, an indicator for graduate degree, and an indicator for major in Educational Studies. Teacher experience is also measured by three variables: experience in years, an indicator for novice teacher (&lt;= 2 years of experience), and a categorical variable in which the year measure is collapsed into bins (0-1 year is omitted).</w:t>
      </w:r>
    </w:p>
    <w:p w14:paraId="584241D1" w14:textId="77777777" w:rsidR="00486BC4" w:rsidRPr="00486BC4" w:rsidRDefault="00486BC4" w:rsidP="00486BC4">
      <w:pPr>
        <w:rPr>
          <w:rFonts w:ascii="Times New Roman" w:eastAsia="Times New Roman" w:hAnsi="Times New Roman" w:cs="Times New Roman"/>
          <w:color w:val="000000"/>
        </w:rPr>
      </w:pPr>
    </w:p>
    <w:p w14:paraId="00E3CFE3" w14:textId="77777777" w:rsidR="00486BC4" w:rsidRPr="00486BC4" w:rsidRDefault="00486BC4" w:rsidP="00486BC4">
      <w:pPr>
        <w:rPr>
          <w:rFonts w:ascii="Times New Roman" w:eastAsia="Times New Roman" w:hAnsi="Times New Roman" w:cs="Times New Roman"/>
          <w:color w:val="000000"/>
        </w:rPr>
      </w:pPr>
      <w:r w:rsidRPr="00486BC4">
        <w:rPr>
          <w:rFonts w:ascii="Calibri" w:eastAsia="Times New Roman" w:hAnsi="Calibri" w:cs="Calibri"/>
          <w:b/>
          <w:bCs/>
          <w:i/>
          <w:iCs/>
          <w:color w:val="000000"/>
        </w:rPr>
        <w:t>Outcome variables</w:t>
      </w:r>
      <w:r w:rsidRPr="00486BC4">
        <w:rPr>
          <w:rFonts w:ascii="Calibri" w:eastAsia="Times New Roman" w:hAnsi="Calibri" w:cs="Calibri"/>
          <w:color w:val="000000"/>
        </w:rPr>
        <w:t>. In each subject, student academic outcomes are measured by two variables: student’s score on the school-administered mid-fall semester exam (obtained from school record) and confidence level (student self-report). Both are standardized to have a mean of zero and standard deviation of one within each school. </w:t>
      </w:r>
    </w:p>
    <w:p w14:paraId="3EAAEC97" w14:textId="77777777" w:rsidR="00486BC4" w:rsidRPr="00486BC4" w:rsidRDefault="00486BC4" w:rsidP="00486BC4">
      <w:pPr>
        <w:rPr>
          <w:rFonts w:ascii="Times New Roman" w:eastAsia="Times New Roman" w:hAnsi="Times New Roman" w:cs="Times New Roman"/>
          <w:color w:val="000000"/>
        </w:rPr>
      </w:pPr>
    </w:p>
    <w:p w14:paraId="3E432E61" w14:textId="77777777" w:rsidR="00486BC4" w:rsidRPr="00486BC4" w:rsidRDefault="00486BC4" w:rsidP="00486BC4">
      <w:pPr>
        <w:rPr>
          <w:rFonts w:ascii="Times New Roman" w:eastAsia="Times New Roman" w:hAnsi="Times New Roman" w:cs="Times New Roman"/>
          <w:color w:val="000000"/>
        </w:rPr>
      </w:pPr>
      <w:r w:rsidRPr="00486BC4">
        <w:rPr>
          <w:rFonts w:ascii="Calibri" w:eastAsia="Times New Roman" w:hAnsi="Calibri" w:cs="Calibri"/>
          <w:color w:val="000000"/>
        </w:rPr>
        <w:t>Methods</w:t>
      </w:r>
    </w:p>
    <w:p w14:paraId="32571628" w14:textId="77777777" w:rsidR="00486BC4" w:rsidRPr="00486BC4" w:rsidRDefault="00486BC4" w:rsidP="00486BC4">
      <w:pPr>
        <w:spacing w:after="240"/>
        <w:rPr>
          <w:rFonts w:ascii="Times New Roman" w:eastAsia="Times New Roman" w:hAnsi="Times New Roman" w:cs="Times New Roman"/>
        </w:rPr>
      </w:pPr>
    </w:p>
    <w:p w14:paraId="51F9CAFB" w14:textId="77777777" w:rsidR="00486BC4" w:rsidRPr="00486BC4" w:rsidRDefault="00486BC4" w:rsidP="00486BC4">
      <w:pPr>
        <w:rPr>
          <w:rFonts w:ascii="Times New Roman" w:eastAsia="Times New Roman" w:hAnsi="Times New Roman" w:cs="Times New Roman"/>
        </w:rPr>
      </w:pPr>
    </w:p>
    <w:p w14:paraId="31349959" w14:textId="77777777" w:rsidR="008A59B9" w:rsidRDefault="008A59B9">
      <w:pPr>
        <w:rPr>
          <w:rFonts w:ascii="Times New Roman" w:hAnsi="Times New Roman" w:cs="Times New Roman"/>
        </w:rPr>
      </w:pPr>
      <w:r>
        <w:rPr>
          <w:rFonts w:ascii="Times New Roman" w:hAnsi="Times New Roman" w:cs="Times New Roman"/>
        </w:rPr>
        <w:br w:type="page"/>
      </w:r>
    </w:p>
    <w:p w14:paraId="01DF3922" w14:textId="546491A7" w:rsidR="00D8079F" w:rsidRDefault="00D8079F" w:rsidP="000E44D7">
      <w:pPr>
        <w:rPr>
          <w:rFonts w:ascii="Times New Roman" w:hAnsi="Times New Roman" w:cs="Times New Roman"/>
        </w:rPr>
      </w:pPr>
      <w:r>
        <w:rPr>
          <w:rFonts w:ascii="Times New Roman" w:hAnsi="Times New Roman" w:cs="Times New Roman"/>
        </w:rPr>
        <w:lastRenderedPageBreak/>
        <w:t>Notes on writing – teacher experience</w:t>
      </w:r>
    </w:p>
    <w:p w14:paraId="46EB0AD0" w14:textId="17B5940A" w:rsidR="00D8079F" w:rsidRPr="00D8079F" w:rsidRDefault="00D8079F" w:rsidP="00D8079F">
      <w:pPr>
        <w:pStyle w:val="ListParagraph"/>
        <w:numPr>
          <w:ilvl w:val="0"/>
          <w:numId w:val="6"/>
        </w:numPr>
        <w:rPr>
          <w:rFonts w:ascii="Times New Roman" w:hAnsi="Times New Roman" w:cs="Times New Roman"/>
        </w:rPr>
      </w:pPr>
      <w:r w:rsidRPr="00D8079F">
        <w:rPr>
          <w:rFonts w:ascii="Times New Roman" w:hAnsi="Times New Roman" w:cs="Times New Roman"/>
        </w:rPr>
        <w:t>Introduction</w:t>
      </w:r>
    </w:p>
    <w:p w14:paraId="182631E1" w14:textId="2A34823C" w:rsidR="00D8079F" w:rsidRPr="00D8079F" w:rsidRDefault="00D8079F" w:rsidP="000E44D7">
      <w:pPr>
        <w:pStyle w:val="ListParagraph"/>
        <w:numPr>
          <w:ilvl w:val="1"/>
          <w:numId w:val="6"/>
        </w:numPr>
        <w:rPr>
          <w:rFonts w:ascii="Times New Roman" w:hAnsi="Times New Roman" w:cs="Times New Roman"/>
        </w:rPr>
      </w:pPr>
      <w:r w:rsidRPr="00D8079F">
        <w:rPr>
          <w:rFonts w:ascii="Times New Roman" w:hAnsi="Times New Roman" w:cs="Times New Roman"/>
        </w:rPr>
        <w:t>Rice, 2013</w:t>
      </w:r>
    </w:p>
    <w:p w14:paraId="4E26BDE7" w14:textId="09E68166" w:rsidR="00D8079F" w:rsidRDefault="00D8079F" w:rsidP="000E44D7">
      <w:pPr>
        <w:pStyle w:val="ListParagraph"/>
        <w:numPr>
          <w:ilvl w:val="0"/>
          <w:numId w:val="6"/>
        </w:numPr>
        <w:rPr>
          <w:rFonts w:ascii="Times New Roman" w:hAnsi="Times New Roman" w:cs="Times New Roman"/>
        </w:rPr>
      </w:pPr>
      <w:r w:rsidRPr="00D8079F">
        <w:rPr>
          <w:rFonts w:ascii="Times New Roman" w:hAnsi="Times New Roman" w:cs="Times New Roman"/>
        </w:rPr>
        <w:t>Methods</w:t>
      </w:r>
    </w:p>
    <w:p w14:paraId="6ACBE379" w14:textId="49163034" w:rsidR="00D8079F" w:rsidRDefault="00D8079F" w:rsidP="00D8079F">
      <w:pPr>
        <w:pStyle w:val="ListParagraph"/>
        <w:numPr>
          <w:ilvl w:val="1"/>
          <w:numId w:val="6"/>
        </w:numPr>
        <w:rPr>
          <w:rFonts w:ascii="Times New Roman" w:hAnsi="Times New Roman" w:cs="Times New Roman"/>
        </w:rPr>
      </w:pPr>
      <w:r>
        <w:rPr>
          <w:rFonts w:ascii="Times New Roman" w:hAnsi="Times New Roman" w:cs="Times New Roman"/>
        </w:rPr>
        <w:t>Method review</w:t>
      </w:r>
    </w:p>
    <w:p w14:paraId="6AFEE8BD" w14:textId="0FC3EF9C" w:rsidR="00D8079F" w:rsidRDefault="00D8079F" w:rsidP="00D8079F">
      <w:pPr>
        <w:pStyle w:val="ListParagraph"/>
        <w:numPr>
          <w:ilvl w:val="2"/>
          <w:numId w:val="6"/>
        </w:numPr>
        <w:rPr>
          <w:rFonts w:ascii="Times New Roman" w:hAnsi="Times New Roman" w:cs="Times New Roman"/>
        </w:rPr>
      </w:pPr>
      <w:proofErr w:type="spellStart"/>
      <w:r>
        <w:rPr>
          <w:rFonts w:ascii="Times New Roman" w:hAnsi="Times New Roman" w:cs="Times New Roman"/>
        </w:rPr>
        <w:t>Papay</w:t>
      </w:r>
      <w:proofErr w:type="spellEnd"/>
      <w:r>
        <w:rPr>
          <w:rFonts w:ascii="Times New Roman" w:hAnsi="Times New Roman" w:cs="Times New Roman"/>
        </w:rPr>
        <w:t xml:space="preserve"> and Kraft, 2015</w:t>
      </w:r>
    </w:p>
    <w:p w14:paraId="4FB8344A" w14:textId="0E7AFDFB" w:rsidR="00D8079F" w:rsidRDefault="00D8079F" w:rsidP="00D8079F">
      <w:pPr>
        <w:pStyle w:val="ListParagraph"/>
        <w:numPr>
          <w:ilvl w:val="1"/>
          <w:numId w:val="6"/>
        </w:numPr>
        <w:rPr>
          <w:rFonts w:ascii="Times New Roman" w:hAnsi="Times New Roman" w:cs="Times New Roman"/>
        </w:rPr>
      </w:pPr>
      <w:r>
        <w:rPr>
          <w:rFonts w:ascii="Times New Roman" w:hAnsi="Times New Roman" w:cs="Times New Roman"/>
        </w:rPr>
        <w:t>Indicator variable model</w:t>
      </w:r>
    </w:p>
    <w:p w14:paraId="1F6E5024" w14:textId="48A0C35E" w:rsidR="00D8079F" w:rsidRDefault="00D8079F" w:rsidP="00D8079F">
      <w:pPr>
        <w:pStyle w:val="ListParagraph"/>
        <w:numPr>
          <w:ilvl w:val="2"/>
          <w:numId w:val="6"/>
        </w:numPr>
        <w:rPr>
          <w:rFonts w:ascii="Times New Roman" w:hAnsi="Times New Roman" w:cs="Times New Roman"/>
        </w:rPr>
      </w:pPr>
      <w:r>
        <w:rPr>
          <w:rFonts w:ascii="Times New Roman" w:hAnsi="Times New Roman" w:cs="Times New Roman"/>
        </w:rPr>
        <w:t>Clotfelter et al., 2007</w:t>
      </w:r>
    </w:p>
    <w:p w14:paraId="5A73DA65" w14:textId="298E2817" w:rsidR="00D8079F" w:rsidRDefault="00D8079F" w:rsidP="00D8079F">
      <w:pPr>
        <w:pStyle w:val="ListParagraph"/>
        <w:numPr>
          <w:ilvl w:val="2"/>
          <w:numId w:val="6"/>
        </w:numPr>
        <w:rPr>
          <w:rFonts w:ascii="Times New Roman" w:hAnsi="Times New Roman" w:cs="Times New Roman"/>
        </w:rPr>
      </w:pPr>
      <w:r>
        <w:t>Harris and Sass, 2011</w:t>
      </w:r>
    </w:p>
    <w:p w14:paraId="60C9ADB1" w14:textId="132D2B79" w:rsidR="00D8079F" w:rsidRDefault="00D8079F" w:rsidP="00D8079F">
      <w:pPr>
        <w:pStyle w:val="ListParagraph"/>
        <w:numPr>
          <w:ilvl w:val="1"/>
          <w:numId w:val="6"/>
        </w:numPr>
        <w:rPr>
          <w:rFonts w:ascii="Times New Roman" w:hAnsi="Times New Roman" w:cs="Times New Roman"/>
        </w:rPr>
      </w:pPr>
      <w:r>
        <w:rPr>
          <w:rFonts w:ascii="Times New Roman" w:hAnsi="Times New Roman" w:cs="Times New Roman"/>
        </w:rPr>
        <w:t>Direct using of experience in years</w:t>
      </w:r>
    </w:p>
    <w:p w14:paraId="46E98584" w14:textId="3727A800" w:rsidR="00D8079F" w:rsidRDefault="00D8079F" w:rsidP="00D8079F">
      <w:pPr>
        <w:pStyle w:val="ListParagraph"/>
        <w:numPr>
          <w:ilvl w:val="2"/>
          <w:numId w:val="6"/>
        </w:numPr>
        <w:rPr>
          <w:rFonts w:ascii="Times New Roman" w:hAnsi="Times New Roman" w:cs="Times New Roman"/>
        </w:rPr>
      </w:pPr>
      <w:r>
        <w:rPr>
          <w:rFonts w:ascii="Times New Roman" w:hAnsi="Times New Roman" w:cs="Times New Roman"/>
        </w:rPr>
        <w:t>Aaronson et al., 2007</w:t>
      </w:r>
    </w:p>
    <w:p w14:paraId="493EEF9E" w14:textId="59142C46" w:rsidR="00D8079F" w:rsidRDefault="00D8079F" w:rsidP="00D8079F">
      <w:pPr>
        <w:pStyle w:val="ListParagraph"/>
        <w:numPr>
          <w:ilvl w:val="1"/>
          <w:numId w:val="6"/>
        </w:numPr>
        <w:rPr>
          <w:rFonts w:ascii="Times New Roman" w:hAnsi="Times New Roman" w:cs="Times New Roman"/>
        </w:rPr>
      </w:pPr>
      <w:r>
        <w:rPr>
          <w:rFonts w:ascii="Times New Roman" w:hAnsi="Times New Roman" w:cs="Times New Roman"/>
        </w:rPr>
        <w:t>Novice teacher indicator</w:t>
      </w:r>
    </w:p>
    <w:p w14:paraId="75F355BD" w14:textId="4DA4B433" w:rsidR="00D8079F" w:rsidRDefault="00D8079F" w:rsidP="00D8079F">
      <w:pPr>
        <w:pStyle w:val="ListParagraph"/>
        <w:numPr>
          <w:ilvl w:val="2"/>
          <w:numId w:val="6"/>
        </w:numPr>
        <w:rPr>
          <w:rFonts w:ascii="Times New Roman" w:hAnsi="Times New Roman" w:cs="Times New Roman"/>
        </w:rPr>
      </w:pPr>
      <w:r>
        <w:rPr>
          <w:rFonts w:ascii="Times New Roman" w:hAnsi="Times New Roman" w:cs="Times New Roman"/>
        </w:rPr>
        <w:t>Aaronson et al., 2007</w:t>
      </w:r>
    </w:p>
    <w:p w14:paraId="78BE2605" w14:textId="6977C293" w:rsidR="00D8079F" w:rsidRDefault="00D8079F" w:rsidP="003B3F43">
      <w:pPr>
        <w:pStyle w:val="ListParagraph"/>
        <w:numPr>
          <w:ilvl w:val="1"/>
          <w:numId w:val="6"/>
        </w:numPr>
        <w:rPr>
          <w:rFonts w:ascii="Times New Roman" w:hAnsi="Times New Roman" w:cs="Times New Roman"/>
        </w:rPr>
      </w:pPr>
      <w:r>
        <w:rPr>
          <w:rFonts w:ascii="Times New Roman" w:hAnsi="Times New Roman" w:cs="Times New Roman"/>
        </w:rPr>
        <w:t>GAM and piecewise regression</w:t>
      </w:r>
    </w:p>
    <w:p w14:paraId="32706030" w14:textId="1C26E2AA" w:rsidR="00D8079F" w:rsidRDefault="00D8079F" w:rsidP="003B3F43">
      <w:pPr>
        <w:pStyle w:val="ListParagraph"/>
        <w:numPr>
          <w:ilvl w:val="2"/>
          <w:numId w:val="6"/>
        </w:numPr>
        <w:rPr>
          <w:rFonts w:ascii="Times New Roman" w:hAnsi="Times New Roman" w:cs="Times New Roman"/>
        </w:rPr>
      </w:pPr>
      <w:r>
        <w:t>Hu et al., 2017</w:t>
      </w:r>
    </w:p>
    <w:p w14:paraId="7DB3329E" w14:textId="6859A5E2" w:rsidR="00D8079F" w:rsidRPr="00D8079F" w:rsidRDefault="00D8079F" w:rsidP="003B3F43">
      <w:pPr>
        <w:pStyle w:val="ListParagraph"/>
        <w:numPr>
          <w:ilvl w:val="0"/>
          <w:numId w:val="6"/>
        </w:numPr>
        <w:rPr>
          <w:rFonts w:ascii="Times New Roman" w:hAnsi="Times New Roman" w:cs="Times New Roman"/>
        </w:rPr>
      </w:pPr>
    </w:p>
    <w:p w14:paraId="5FCAE5F3" w14:textId="4DC40BFC" w:rsidR="00D8079F" w:rsidRDefault="00D8079F" w:rsidP="000E44D7">
      <w:pPr>
        <w:rPr>
          <w:rFonts w:ascii="Times New Roman" w:hAnsi="Times New Roman" w:cs="Times New Roman"/>
        </w:rPr>
      </w:pPr>
    </w:p>
    <w:p w14:paraId="6D6785FF" w14:textId="77777777" w:rsidR="00D8079F" w:rsidRDefault="00D8079F" w:rsidP="000E44D7">
      <w:pPr>
        <w:rPr>
          <w:rFonts w:ascii="Times New Roman" w:hAnsi="Times New Roman" w:cs="Times New Roman"/>
        </w:rPr>
      </w:pPr>
    </w:p>
    <w:p w14:paraId="606D7186" w14:textId="77777777" w:rsidR="00C8490E" w:rsidRDefault="00C8490E" w:rsidP="000E44D7">
      <w:pPr>
        <w:rPr>
          <w:rFonts w:ascii="Times New Roman" w:hAnsi="Times New Roman" w:cs="Times New Roman"/>
        </w:rPr>
      </w:pPr>
    </w:p>
    <w:p w14:paraId="08990675" w14:textId="02D4C0F4" w:rsidR="000E44D7" w:rsidRDefault="000E44D7" w:rsidP="000E44D7">
      <w:pPr>
        <w:rPr>
          <w:rFonts w:ascii="Times New Roman" w:hAnsi="Times New Roman" w:cs="Times New Roman"/>
        </w:rPr>
      </w:pPr>
      <w:r>
        <w:rPr>
          <w:rFonts w:ascii="Times New Roman" w:hAnsi="Times New Roman" w:cs="Times New Roman"/>
        </w:rPr>
        <w:t>Teacher effect in general</w:t>
      </w:r>
    </w:p>
    <w:p w14:paraId="36FAF13C" w14:textId="54056529" w:rsidR="004E7400" w:rsidRDefault="004E7400" w:rsidP="000E44D7">
      <w:pPr>
        <w:rPr>
          <w:rFonts w:ascii="Times New Roman" w:hAnsi="Times New Roman" w:cs="Times New Roman"/>
        </w:rPr>
      </w:pPr>
    </w:p>
    <w:p w14:paraId="6E06C8FB" w14:textId="061F2DB3" w:rsidR="004E7400" w:rsidRDefault="004E7400" w:rsidP="000E44D7">
      <w:pPr>
        <w:rPr>
          <w:rFonts w:ascii="Times New Roman" w:hAnsi="Times New Roman" w:cs="Times New Roman"/>
        </w:rPr>
      </w:pPr>
      <w:r>
        <w:rPr>
          <w:rFonts w:ascii="Times New Roman" w:hAnsi="Times New Roman" w:cs="Times New Roman"/>
        </w:rPr>
        <w:t>Student level data matters:</w:t>
      </w:r>
    </w:p>
    <w:p w14:paraId="3873DA0E" w14:textId="7B2D306F" w:rsidR="004E7400" w:rsidRDefault="004E7400" w:rsidP="004E7400">
      <w:pPr>
        <w:pStyle w:val="ListParagraph"/>
        <w:numPr>
          <w:ilvl w:val="0"/>
          <w:numId w:val="2"/>
        </w:numPr>
      </w:pPr>
      <w:r>
        <w:t>(</w:t>
      </w:r>
      <w:r w:rsidRPr="004E7400">
        <w:t>Aaronson et al., 2007</w:t>
      </w:r>
      <w:r>
        <w:t xml:space="preserve">) </w:t>
      </w:r>
      <w:r w:rsidRPr="004E7400">
        <w:t xml:space="preserve">A brief sampling of other work on teacher effects includes Murnane (1975), Goldhaber and Brewer (1997), Angrist and </w:t>
      </w:r>
      <w:proofErr w:type="spellStart"/>
      <w:r w:rsidRPr="004E7400">
        <w:t>Lavy</w:t>
      </w:r>
      <w:proofErr w:type="spellEnd"/>
      <w:r w:rsidRPr="004E7400">
        <w:t xml:space="preserve"> (2001), Jepsen and Rivkin (2002), Rivers and Sanders (2002), Jacob and </w:t>
      </w:r>
      <w:proofErr w:type="spellStart"/>
      <w:r w:rsidRPr="004E7400">
        <w:t>Lefgren</w:t>
      </w:r>
      <w:proofErr w:type="spellEnd"/>
      <w:r w:rsidRPr="004E7400">
        <w:t xml:space="preserve"> (2004), Rockoff (2004), Kane and </w:t>
      </w:r>
      <w:proofErr w:type="spellStart"/>
      <w:r w:rsidRPr="004E7400">
        <w:t>Staiger</w:t>
      </w:r>
      <w:proofErr w:type="spellEnd"/>
      <w:r w:rsidRPr="004E7400">
        <w:t xml:space="preserve"> (2005), Rivkin, Hanushek, and Kain (2005), and Kane, Rockoff, and </w:t>
      </w:r>
      <w:proofErr w:type="spellStart"/>
      <w:r w:rsidRPr="004E7400">
        <w:t>Staiger</w:t>
      </w:r>
      <w:proofErr w:type="spellEnd"/>
      <w:r w:rsidRPr="004E7400">
        <w:t xml:space="preserve"> (2006). The earliest studies on teacher quality were hampered by data availability and thus often relied on state- or school-level variation. Ag- </w:t>
      </w:r>
      <w:proofErr w:type="spellStart"/>
      <w:r w:rsidRPr="004E7400">
        <w:t>gregation</w:t>
      </w:r>
      <w:proofErr w:type="spellEnd"/>
      <w:r w:rsidRPr="004E7400">
        <w:t xml:space="preserve"> and measurement error compounded by proxies such as student-teacher ratios and average teacher experience can introduce significant bias. More recent studies, such as Rockoff (2004), Kane and </w:t>
      </w:r>
      <w:proofErr w:type="spellStart"/>
      <w:r w:rsidRPr="004E7400">
        <w:t>Staiger</w:t>
      </w:r>
      <w:proofErr w:type="spellEnd"/>
      <w:r w:rsidRPr="004E7400">
        <w:t xml:space="preserve"> (2005), Rivkin et al. (2005), and Kane et al. (2006), use administrative data like ours to minimize these concerns. </w:t>
      </w:r>
    </w:p>
    <w:p w14:paraId="7480A38A" w14:textId="77777777" w:rsidR="000E44D7" w:rsidRDefault="000E44D7" w:rsidP="000E44D7">
      <w:pPr>
        <w:rPr>
          <w:rFonts w:ascii="Times New Roman" w:hAnsi="Times New Roman" w:cs="Times New Roman"/>
        </w:rPr>
      </w:pPr>
    </w:p>
    <w:p w14:paraId="37AE300C" w14:textId="72149F24" w:rsidR="000E44D7" w:rsidRDefault="000E44D7" w:rsidP="000E44D7">
      <w:pPr>
        <w:rPr>
          <w:rFonts w:ascii="Times New Roman" w:hAnsi="Times New Roman" w:cs="Times New Roman"/>
        </w:rPr>
      </w:pPr>
    </w:p>
    <w:p w14:paraId="29DEF4D2" w14:textId="6962DED3" w:rsidR="000E44D7" w:rsidRDefault="000E44D7" w:rsidP="000E44D7">
      <w:pPr>
        <w:rPr>
          <w:rFonts w:ascii="Times New Roman" w:hAnsi="Times New Roman" w:cs="Times New Roman"/>
        </w:rPr>
      </w:pPr>
    </w:p>
    <w:p w14:paraId="110B29E2" w14:textId="37EA8AD5" w:rsidR="000E44D7" w:rsidRDefault="000E44D7" w:rsidP="000E44D7">
      <w:pPr>
        <w:rPr>
          <w:rFonts w:ascii="Times New Roman" w:hAnsi="Times New Roman" w:cs="Times New Roman"/>
        </w:rPr>
      </w:pPr>
      <w:r>
        <w:rPr>
          <w:rFonts w:ascii="Times New Roman" w:hAnsi="Times New Roman" w:cs="Times New Roman"/>
        </w:rPr>
        <w:t>Teacher education background/teacher preparation</w:t>
      </w:r>
    </w:p>
    <w:p w14:paraId="74B127E7" w14:textId="77777777" w:rsidR="004B7466" w:rsidRDefault="004B7466" w:rsidP="004B7466">
      <w:pPr>
        <w:rPr>
          <w:rFonts w:ascii="Times New Roman" w:hAnsi="Times New Roman" w:cs="Times New Roman"/>
        </w:rPr>
      </w:pPr>
      <w:r>
        <w:rPr>
          <w:rFonts w:ascii="Times New Roman" w:hAnsi="Times New Roman" w:cs="Times New Roman"/>
        </w:rPr>
        <w:t>Aaronson et al., 2007:</w:t>
      </w:r>
    </w:p>
    <w:p w14:paraId="114B2D37" w14:textId="13FADA7F" w:rsidR="004B7466" w:rsidRDefault="004B7466" w:rsidP="004B7466">
      <w:pPr>
        <w:pStyle w:val="ListParagraph"/>
        <w:numPr>
          <w:ilvl w:val="0"/>
          <w:numId w:val="2"/>
        </w:numPr>
      </w:pPr>
      <w:r>
        <w:t>Measures</w:t>
      </w:r>
    </w:p>
    <w:p w14:paraId="7350C20E" w14:textId="11E297D7" w:rsidR="004B7466" w:rsidRDefault="004B7466" w:rsidP="004B7466">
      <w:pPr>
        <w:pStyle w:val="ListParagraph"/>
        <w:numPr>
          <w:ilvl w:val="1"/>
          <w:numId w:val="2"/>
        </w:numPr>
      </w:pPr>
      <w:r>
        <w:t>Graduate degree</w:t>
      </w:r>
    </w:p>
    <w:p w14:paraId="3CE7D831" w14:textId="191E774E" w:rsidR="004B7466" w:rsidRDefault="004B7466" w:rsidP="004B7466">
      <w:pPr>
        <w:pStyle w:val="ListParagraph"/>
        <w:numPr>
          <w:ilvl w:val="1"/>
          <w:numId w:val="2"/>
        </w:numPr>
      </w:pPr>
      <w:r>
        <w:t>Major</w:t>
      </w:r>
    </w:p>
    <w:p w14:paraId="6E1F2F8E" w14:textId="1F8DD1B7" w:rsidR="004B7466" w:rsidRDefault="004B7466" w:rsidP="004B7466">
      <w:pPr>
        <w:pStyle w:val="ListParagraph"/>
        <w:numPr>
          <w:ilvl w:val="1"/>
          <w:numId w:val="2"/>
        </w:numPr>
      </w:pPr>
      <w:r>
        <w:t>And more</w:t>
      </w:r>
    </w:p>
    <w:p w14:paraId="0C3658B9" w14:textId="3AD82689" w:rsidR="004B7466" w:rsidRDefault="004B7466" w:rsidP="004B7466">
      <w:pPr>
        <w:pStyle w:val="ListParagraph"/>
        <w:numPr>
          <w:ilvl w:val="0"/>
          <w:numId w:val="2"/>
        </w:numPr>
      </w:pPr>
      <w:r>
        <w:t>Findings</w:t>
      </w:r>
    </w:p>
    <w:p w14:paraId="77FAD4BE" w14:textId="50114A7E" w:rsidR="004B7466" w:rsidRDefault="004B7466" w:rsidP="004B7466">
      <w:pPr>
        <w:pStyle w:val="ListParagraph"/>
        <w:numPr>
          <w:ilvl w:val="1"/>
          <w:numId w:val="2"/>
        </w:numPr>
      </w:pPr>
      <w:r>
        <w:t>No relationship with teacher value-added on math in Chicago public high schools</w:t>
      </w:r>
    </w:p>
    <w:p w14:paraId="3BDCF142" w14:textId="654E8748" w:rsidR="000E44D7" w:rsidRPr="004B7466" w:rsidRDefault="000E44D7" w:rsidP="000E44D7">
      <w:pPr>
        <w:rPr>
          <w:rFonts w:ascii="Times New Roman" w:hAnsi="Times New Roman" w:cs="Times New Roman"/>
          <w:b/>
          <w:bCs/>
        </w:rPr>
      </w:pPr>
    </w:p>
    <w:p w14:paraId="409DDD31" w14:textId="033B7ADE" w:rsidR="000E44D7" w:rsidRDefault="000E44D7" w:rsidP="000E44D7">
      <w:pPr>
        <w:rPr>
          <w:rFonts w:ascii="Times New Roman" w:hAnsi="Times New Roman" w:cs="Times New Roman"/>
        </w:rPr>
      </w:pPr>
    </w:p>
    <w:p w14:paraId="1BE556DD" w14:textId="189B561A" w:rsidR="000E44D7" w:rsidRDefault="000E44D7" w:rsidP="000E44D7">
      <w:pPr>
        <w:rPr>
          <w:rFonts w:ascii="Times New Roman" w:hAnsi="Times New Roman" w:cs="Times New Roman"/>
        </w:rPr>
      </w:pPr>
      <w:r>
        <w:rPr>
          <w:rFonts w:ascii="Times New Roman" w:hAnsi="Times New Roman" w:cs="Times New Roman"/>
        </w:rPr>
        <w:lastRenderedPageBreak/>
        <w:t>Teacher experience/return to teaching</w:t>
      </w:r>
    </w:p>
    <w:p w14:paraId="1A42D114" w14:textId="105BB77F" w:rsidR="004B7466" w:rsidRDefault="004B7466" w:rsidP="000E44D7">
      <w:pPr>
        <w:rPr>
          <w:rFonts w:ascii="Times New Roman" w:hAnsi="Times New Roman" w:cs="Times New Roman"/>
        </w:rPr>
      </w:pPr>
    </w:p>
    <w:p w14:paraId="299B44B3" w14:textId="3C8918D4" w:rsidR="004B7466" w:rsidRDefault="004B7466" w:rsidP="000E44D7">
      <w:pPr>
        <w:rPr>
          <w:rFonts w:ascii="Times New Roman" w:hAnsi="Times New Roman" w:cs="Times New Roman"/>
        </w:rPr>
      </w:pPr>
      <w:r>
        <w:rPr>
          <w:rFonts w:ascii="Times New Roman" w:hAnsi="Times New Roman" w:cs="Times New Roman"/>
        </w:rPr>
        <w:t>Aaronson et al., 2007:</w:t>
      </w:r>
    </w:p>
    <w:p w14:paraId="403E60B7" w14:textId="6F96D1E7" w:rsidR="004B7466" w:rsidRDefault="004B7466" w:rsidP="004B7466">
      <w:pPr>
        <w:pStyle w:val="ListParagraph"/>
        <w:numPr>
          <w:ilvl w:val="0"/>
          <w:numId w:val="2"/>
        </w:numPr>
      </w:pPr>
      <w:r>
        <w:t>Models and measures</w:t>
      </w:r>
    </w:p>
    <w:p w14:paraId="4B42DDC8" w14:textId="128E8E15" w:rsidR="004B7466" w:rsidRDefault="004B7466" w:rsidP="004B7466">
      <w:pPr>
        <w:pStyle w:val="ListParagraph"/>
        <w:numPr>
          <w:ilvl w:val="1"/>
          <w:numId w:val="2"/>
        </w:numPr>
      </w:pPr>
      <w:r>
        <w:t>Directly using years measure (age-education-6 then take average within teacher)</w:t>
      </w:r>
    </w:p>
    <w:p w14:paraId="01ED6A9D" w14:textId="07FF7099" w:rsidR="004B7466" w:rsidRDefault="004B7466" w:rsidP="004B7466">
      <w:pPr>
        <w:pStyle w:val="ListParagraph"/>
        <w:numPr>
          <w:ilvl w:val="1"/>
          <w:numId w:val="2"/>
        </w:numPr>
      </w:pPr>
      <w:r>
        <w:t>Also check the dummy variable years&lt;=1</w:t>
      </w:r>
    </w:p>
    <w:p w14:paraId="6D8F63CA" w14:textId="09F2A0D7" w:rsidR="004B7466" w:rsidRDefault="004B7466" w:rsidP="004B7466">
      <w:pPr>
        <w:pStyle w:val="ListParagraph"/>
        <w:numPr>
          <w:ilvl w:val="0"/>
          <w:numId w:val="2"/>
        </w:numPr>
      </w:pPr>
      <w:r>
        <w:t xml:space="preserve">Findings </w:t>
      </w:r>
    </w:p>
    <w:p w14:paraId="4BC6D01A" w14:textId="51FC68C1" w:rsidR="004B7466" w:rsidRDefault="004B7466" w:rsidP="004B7466">
      <w:pPr>
        <w:pStyle w:val="ListParagraph"/>
        <w:numPr>
          <w:ilvl w:val="1"/>
          <w:numId w:val="2"/>
        </w:numPr>
      </w:pPr>
      <w:r>
        <w:t>No relationship with teacher value-added on math in Chicago public high schools</w:t>
      </w:r>
    </w:p>
    <w:p w14:paraId="3451DACA" w14:textId="77777777" w:rsidR="004B7466" w:rsidRDefault="004B7466" w:rsidP="000E44D7">
      <w:pPr>
        <w:rPr>
          <w:rFonts w:ascii="Times New Roman" w:hAnsi="Times New Roman" w:cs="Times New Roman"/>
        </w:rPr>
      </w:pPr>
    </w:p>
    <w:p w14:paraId="21F9259D" w14:textId="77777777" w:rsidR="00CD366F" w:rsidRDefault="00CD366F" w:rsidP="000E44D7">
      <w:pPr>
        <w:rPr>
          <w:rFonts w:ascii="Times New Roman" w:hAnsi="Times New Roman" w:cs="Times New Roman"/>
        </w:rPr>
      </w:pPr>
    </w:p>
    <w:p w14:paraId="7EBA4257" w14:textId="3A0615F4" w:rsidR="00F70B2F" w:rsidRDefault="00F70B2F" w:rsidP="00CD366F">
      <w:pPr>
        <w:rPr>
          <w:rFonts w:ascii="Times New Roman" w:hAnsi="Times New Roman" w:cs="Times New Roman"/>
        </w:rPr>
      </w:pPr>
      <w:r>
        <w:rPr>
          <w:rFonts w:ascii="Times New Roman" w:hAnsi="Times New Roman" w:cs="Times New Roman"/>
        </w:rPr>
        <w:t>Clotfelter et al., 2007:</w:t>
      </w:r>
    </w:p>
    <w:p w14:paraId="1685032A" w14:textId="2F48F163" w:rsidR="00F70B2F" w:rsidRDefault="00F70B2F" w:rsidP="00F70B2F">
      <w:pPr>
        <w:pStyle w:val="ListParagraph"/>
        <w:numPr>
          <w:ilvl w:val="0"/>
          <w:numId w:val="3"/>
        </w:numPr>
        <w:rPr>
          <w:rFonts w:ascii="Times New Roman" w:hAnsi="Times New Roman" w:cs="Times New Roman"/>
        </w:rPr>
      </w:pPr>
      <w:r>
        <w:rPr>
          <w:rFonts w:ascii="Times New Roman" w:hAnsi="Times New Roman" w:cs="Times New Roman"/>
        </w:rPr>
        <w:t>Models and measures</w:t>
      </w:r>
    </w:p>
    <w:p w14:paraId="1C612B59" w14:textId="2FD831A2" w:rsidR="006652C6" w:rsidRDefault="006652C6" w:rsidP="006652C6">
      <w:pPr>
        <w:pStyle w:val="ListParagraph"/>
        <w:numPr>
          <w:ilvl w:val="1"/>
          <w:numId w:val="3"/>
        </w:numPr>
      </w:pPr>
      <w:r>
        <w:t>“Indicator variable model”, “</w:t>
      </w:r>
      <w:r w:rsidRPr="00695FE8">
        <w:t>by using within-bin variation to estimate the year effects, the Indicator Variable Model relies on a similar functional form assumption. In this case, it assumes that teacher productivity does not change meaningfully within each of these experience bins</w:t>
      </w:r>
      <w:r>
        <w:t>” (</w:t>
      </w:r>
      <w:proofErr w:type="spellStart"/>
      <w:r>
        <w:t>Papay</w:t>
      </w:r>
      <w:proofErr w:type="spellEnd"/>
      <w:r>
        <w:t xml:space="preserve"> and Kraft, 2</w:t>
      </w:r>
      <w:r w:rsidR="00CF4F0F">
        <w:t>0</w:t>
      </w:r>
      <w:r>
        <w:t>15)</w:t>
      </w:r>
    </w:p>
    <w:p w14:paraId="3B5C10D8" w14:textId="52E618E6" w:rsidR="003B3F43" w:rsidRPr="003B3F43" w:rsidRDefault="003B3F43" w:rsidP="003B3F43">
      <w:pPr>
        <w:pStyle w:val="ListParagraph"/>
        <w:numPr>
          <w:ilvl w:val="2"/>
          <w:numId w:val="3"/>
        </w:numPr>
        <w:rPr>
          <w:rFonts w:ascii="Times New Roman" w:hAnsi="Times New Roman" w:cs="Times New Roman"/>
        </w:rPr>
      </w:pPr>
      <w:r>
        <w:rPr>
          <w:rFonts w:ascii="Times New Roman" w:hAnsi="Times New Roman" w:cs="Times New Roman"/>
        </w:rPr>
        <w:t>Specify years of experience as a series of indicator variables (1-2, 3-5, 6-12, 13-20, 21-27, and 27+), with the base/left-out category being no experience</w:t>
      </w:r>
    </w:p>
    <w:p w14:paraId="36535A5E" w14:textId="2DC07671" w:rsidR="008D6DB9" w:rsidRDefault="008D6DB9" w:rsidP="008D6DB9">
      <w:pPr>
        <w:pStyle w:val="ListParagraph"/>
        <w:numPr>
          <w:ilvl w:val="1"/>
          <w:numId w:val="3"/>
        </w:numPr>
        <w:rPr>
          <w:rFonts w:ascii="Times New Roman" w:hAnsi="Times New Roman" w:cs="Times New Roman"/>
        </w:rPr>
      </w:pPr>
      <w:r>
        <w:rPr>
          <w:rFonts w:ascii="Times New Roman" w:hAnsi="Times New Roman" w:cs="Times New Roman"/>
        </w:rPr>
        <w:t>Student fixed-effects</w:t>
      </w:r>
    </w:p>
    <w:p w14:paraId="4B8C8F5D" w14:textId="5CA8E393" w:rsidR="006652C6" w:rsidRDefault="006652C6" w:rsidP="008D6DB9">
      <w:pPr>
        <w:pStyle w:val="ListParagraph"/>
        <w:numPr>
          <w:ilvl w:val="1"/>
          <w:numId w:val="3"/>
        </w:numPr>
        <w:rPr>
          <w:rFonts w:ascii="Times New Roman" w:hAnsi="Times New Roman" w:cs="Times New Roman"/>
        </w:rPr>
      </w:pPr>
      <w:r>
        <w:rPr>
          <w:rFonts w:ascii="Times New Roman" w:hAnsi="Times New Roman" w:cs="Times New Roman"/>
        </w:rPr>
        <w:t xml:space="preserve">10 years of </w:t>
      </w:r>
      <w:proofErr w:type="gramStart"/>
      <w:r>
        <w:rPr>
          <w:rFonts w:ascii="Times New Roman" w:hAnsi="Times New Roman" w:cs="Times New Roman"/>
        </w:rPr>
        <w:t>north Carolina</w:t>
      </w:r>
      <w:proofErr w:type="gramEnd"/>
      <w:r>
        <w:rPr>
          <w:rFonts w:ascii="Times New Roman" w:hAnsi="Times New Roman" w:cs="Times New Roman"/>
        </w:rPr>
        <w:t xml:space="preserve"> data</w:t>
      </w:r>
    </w:p>
    <w:p w14:paraId="5A1540BE" w14:textId="6C8CBE6E" w:rsidR="006652C6" w:rsidRDefault="006652C6" w:rsidP="006652C6">
      <w:pPr>
        <w:pStyle w:val="ListParagraph"/>
        <w:numPr>
          <w:ilvl w:val="0"/>
          <w:numId w:val="3"/>
        </w:numPr>
        <w:rPr>
          <w:rFonts w:ascii="Times New Roman" w:hAnsi="Times New Roman" w:cs="Times New Roman"/>
        </w:rPr>
      </w:pPr>
      <w:r>
        <w:rPr>
          <w:rFonts w:ascii="Times New Roman" w:hAnsi="Times New Roman" w:cs="Times New Roman"/>
        </w:rPr>
        <w:t>Findings (p.676)</w:t>
      </w:r>
    </w:p>
    <w:p w14:paraId="64C5BBB3" w14:textId="53B83519" w:rsidR="006652C6" w:rsidRDefault="006652C6" w:rsidP="006652C6">
      <w:pPr>
        <w:pStyle w:val="ListParagraph"/>
        <w:numPr>
          <w:ilvl w:val="1"/>
          <w:numId w:val="3"/>
        </w:numPr>
        <w:rPr>
          <w:rFonts w:ascii="Times New Roman" w:hAnsi="Times New Roman" w:cs="Times New Roman"/>
        </w:rPr>
      </w:pPr>
      <w:r>
        <w:rPr>
          <w:rFonts w:ascii="Times New Roman" w:hAnsi="Times New Roman" w:cs="Times New Roman"/>
        </w:rPr>
        <w:t>Larger effects for math than for reading</w:t>
      </w:r>
    </w:p>
    <w:p w14:paraId="5CD9E203" w14:textId="72D15ABA" w:rsidR="006652C6" w:rsidRPr="00F70B2F" w:rsidRDefault="006652C6" w:rsidP="006652C6">
      <w:pPr>
        <w:pStyle w:val="ListParagraph"/>
        <w:numPr>
          <w:ilvl w:val="1"/>
          <w:numId w:val="3"/>
        </w:numPr>
        <w:rPr>
          <w:rFonts w:ascii="Times New Roman" w:hAnsi="Times New Roman" w:cs="Times New Roman"/>
        </w:rPr>
      </w:pPr>
      <w:r>
        <w:rPr>
          <w:rFonts w:ascii="Times New Roman" w:hAnsi="Times New Roman" w:cs="Times New Roman"/>
        </w:rPr>
        <w:t xml:space="preserve">On student score gains, all coefficients of teacher experience indicators are significant; size ranging from 0.072-0.118 in math and 0.043-0.096 in reading </w:t>
      </w:r>
    </w:p>
    <w:p w14:paraId="1347DE6E" w14:textId="77777777" w:rsidR="00F70B2F" w:rsidRDefault="00F70B2F" w:rsidP="00CD366F">
      <w:pPr>
        <w:rPr>
          <w:rFonts w:ascii="Times New Roman" w:hAnsi="Times New Roman" w:cs="Times New Roman"/>
        </w:rPr>
      </w:pPr>
    </w:p>
    <w:p w14:paraId="126F7443" w14:textId="61A91C30" w:rsidR="00CD366F" w:rsidRDefault="00CD366F" w:rsidP="00CD366F"/>
    <w:p w14:paraId="6282BD87" w14:textId="041A95F9" w:rsidR="00502CEA" w:rsidRDefault="00502CEA" w:rsidP="00CD366F">
      <w:r>
        <w:t>Harris and Sass, 2011:</w:t>
      </w:r>
    </w:p>
    <w:p w14:paraId="0AF82F80" w14:textId="17993F32" w:rsidR="00502CEA" w:rsidRDefault="00502CEA" w:rsidP="00502CEA">
      <w:pPr>
        <w:pStyle w:val="ListParagraph"/>
        <w:numPr>
          <w:ilvl w:val="0"/>
          <w:numId w:val="4"/>
        </w:numPr>
      </w:pPr>
      <w:r>
        <w:t>Methods and measures</w:t>
      </w:r>
    </w:p>
    <w:p w14:paraId="30A52BE5" w14:textId="00FFF9BD" w:rsidR="006652C6" w:rsidRDefault="006652C6" w:rsidP="00502CEA">
      <w:pPr>
        <w:pStyle w:val="ListParagraph"/>
        <w:numPr>
          <w:ilvl w:val="1"/>
          <w:numId w:val="4"/>
        </w:numPr>
      </w:pPr>
      <w:r>
        <w:t>Indicator variable mod</w:t>
      </w:r>
      <w:r w:rsidR="003B3F43">
        <w:t>el</w:t>
      </w:r>
    </w:p>
    <w:p w14:paraId="0C2EF4C2" w14:textId="77777777" w:rsidR="003B3F43" w:rsidRDefault="003B3F43" w:rsidP="003B3F43">
      <w:pPr>
        <w:pStyle w:val="ListParagraph"/>
        <w:numPr>
          <w:ilvl w:val="2"/>
          <w:numId w:val="4"/>
        </w:numPr>
      </w:pPr>
      <w:r>
        <w:t>Compare teachers with 1-2, 3-4, 5-9, 10-14, 15-24, and 25+ years’ experience separately to new teachers</w:t>
      </w:r>
    </w:p>
    <w:p w14:paraId="0538A4D6" w14:textId="538BAE29" w:rsidR="00502CEA" w:rsidRDefault="00695FE8" w:rsidP="00502CEA">
      <w:pPr>
        <w:pStyle w:val="ListParagraph"/>
        <w:numPr>
          <w:ilvl w:val="1"/>
          <w:numId w:val="4"/>
        </w:numPr>
      </w:pPr>
      <w:r>
        <w:t xml:space="preserve">Panel </w:t>
      </w:r>
      <w:proofErr w:type="gramStart"/>
      <w:r>
        <w:t>data;</w:t>
      </w:r>
      <w:proofErr w:type="gramEnd"/>
      <w:r>
        <w:t xml:space="preserve"> leveraging s</w:t>
      </w:r>
      <w:r w:rsidR="00502CEA">
        <w:t>tudent, teacher, and school fixed effects</w:t>
      </w:r>
      <w:r w:rsidR="00325B39">
        <w:t xml:space="preserve"> (see paper for the advanced methods getting around computational challenge)</w:t>
      </w:r>
    </w:p>
    <w:p w14:paraId="65F133DF" w14:textId="6137A209" w:rsidR="00502CEA" w:rsidRDefault="00502CEA" w:rsidP="00502CEA">
      <w:pPr>
        <w:pStyle w:val="ListParagraph"/>
        <w:numPr>
          <w:ilvl w:val="0"/>
          <w:numId w:val="4"/>
        </w:numPr>
      </w:pPr>
      <w:r>
        <w:t>Findings</w:t>
      </w:r>
      <w:r w:rsidR="00D0033C">
        <w:t xml:space="preserve"> (p.805)</w:t>
      </w:r>
    </w:p>
    <w:p w14:paraId="05D01553" w14:textId="3BF800CC" w:rsidR="002F7FEA" w:rsidRDefault="002F7FEA" w:rsidP="00502CEA">
      <w:pPr>
        <w:pStyle w:val="ListParagraph"/>
        <w:numPr>
          <w:ilvl w:val="1"/>
          <w:numId w:val="4"/>
        </w:numPr>
      </w:pPr>
      <w:r>
        <w:t>For elementary and middle school teachers, experience effects are quantitatively substantial, ranging from 0.03-0.06 SD for the first 1-2 years of experience as much as 0.16 SD for 15-24 years of experience</w:t>
      </w:r>
    </w:p>
    <w:p w14:paraId="2C369DA2" w14:textId="698FC06E" w:rsidR="00502CEA" w:rsidRDefault="002F7FEA" w:rsidP="00502CEA">
      <w:pPr>
        <w:pStyle w:val="ListParagraph"/>
        <w:numPr>
          <w:ilvl w:val="1"/>
          <w:numId w:val="4"/>
        </w:numPr>
      </w:pPr>
      <w:r>
        <w:t>High school teachers are the opposite, more experienced teachers are less productive than when they were new teachers (teacher fixed effects)</w:t>
      </w:r>
    </w:p>
    <w:p w14:paraId="421224FD" w14:textId="77777777" w:rsidR="00502CEA" w:rsidRDefault="00502CEA" w:rsidP="00CD366F"/>
    <w:p w14:paraId="5137C683" w14:textId="4CADC958" w:rsidR="008A6711" w:rsidRDefault="008A6711" w:rsidP="00CD366F">
      <w:r>
        <w:t xml:space="preserve">Hu et al., 2017: </w:t>
      </w:r>
    </w:p>
    <w:p w14:paraId="6CF56F69" w14:textId="0E100802" w:rsidR="008A6711" w:rsidRDefault="008A6711" w:rsidP="008A6711">
      <w:pPr>
        <w:pStyle w:val="ListParagraph"/>
        <w:numPr>
          <w:ilvl w:val="0"/>
          <w:numId w:val="1"/>
        </w:numPr>
      </w:pPr>
      <w:r>
        <w:t xml:space="preserve">using generalized additive modeling (GAM), a nonlinear </w:t>
      </w:r>
      <w:r w:rsidR="008D2F74">
        <w:t xml:space="preserve">method for “identifying likely thresholds by estimating the relations between an independent variable and a </w:t>
      </w:r>
      <w:r w:rsidR="008D2F74">
        <w:lastRenderedPageBreak/>
        <w:t>dependent variable without making any assumptions about whether the relation is linear or non-linear</w:t>
      </w:r>
    </w:p>
    <w:p w14:paraId="56B755BE" w14:textId="056F7267" w:rsidR="008D2F74" w:rsidRDefault="008D2F74" w:rsidP="008D2F74">
      <w:pPr>
        <w:pStyle w:val="ListParagraph"/>
        <w:numPr>
          <w:ilvl w:val="1"/>
          <w:numId w:val="1"/>
        </w:numPr>
      </w:pPr>
      <w:r>
        <w:t>likely thresholds are identified by graphically identifying the regions where there appears to by systematic change in the relation between the two variables and both baseline and ceiling thresholds are possible</w:t>
      </w:r>
    </w:p>
    <w:p w14:paraId="0AA2CEC1" w14:textId="2236D268" w:rsidR="008D2F74" w:rsidRDefault="008D2F74" w:rsidP="008D2F74">
      <w:pPr>
        <w:pStyle w:val="ListParagraph"/>
        <w:numPr>
          <w:ilvl w:val="1"/>
          <w:numId w:val="1"/>
        </w:numPr>
      </w:pPr>
      <w:proofErr w:type="gramStart"/>
      <w:r>
        <w:t>also</w:t>
      </w:r>
      <w:proofErr w:type="gramEnd"/>
      <w:r>
        <w:t xml:space="preserve"> a graphic representation of the non-linear regression trend between the two variables</w:t>
      </w:r>
    </w:p>
    <w:p w14:paraId="2C329F8C" w14:textId="5DFC8C84" w:rsidR="008D2F74" w:rsidRDefault="008D2F74" w:rsidP="008D2F74">
      <w:pPr>
        <w:pStyle w:val="ListParagraph"/>
        <w:numPr>
          <w:ilvl w:val="1"/>
          <w:numId w:val="1"/>
        </w:numPr>
      </w:pPr>
      <w:r>
        <w:t>it doesn’t provide exact cut-off points, rather, it provides visual guidance on the score ranges within which thresholds are likely to exist</w:t>
      </w:r>
    </w:p>
    <w:p w14:paraId="2FAB369A" w14:textId="3D971105" w:rsidR="00C8490E" w:rsidRDefault="008A6711" w:rsidP="008A6711">
      <w:pPr>
        <w:pStyle w:val="ListParagraph"/>
        <w:numPr>
          <w:ilvl w:val="0"/>
          <w:numId w:val="1"/>
        </w:numPr>
      </w:pPr>
      <w:r>
        <w:t>then using piecewise regression</w:t>
      </w:r>
      <w:r w:rsidR="008D2F74">
        <w:t xml:space="preserve"> (spline regression approach)</w:t>
      </w:r>
      <w:r>
        <w:t xml:space="preserve"> to validate the possible thresholds</w:t>
      </w:r>
    </w:p>
    <w:p w14:paraId="04807D88" w14:textId="77777777" w:rsidR="005953D3" w:rsidRDefault="008D2F74" w:rsidP="005953D3">
      <w:pPr>
        <w:pStyle w:val="ListParagraph"/>
        <w:numPr>
          <w:ilvl w:val="1"/>
          <w:numId w:val="1"/>
        </w:numPr>
      </w:pPr>
      <w:r>
        <w:t>meaning to test whether the regression slopes vary across the different regions thus provide evidence of the validity of the GAM-derived thresholds</w:t>
      </w:r>
    </w:p>
    <w:p w14:paraId="0CEF6F8B" w14:textId="7426533A" w:rsidR="005953D3" w:rsidRPr="005953D3" w:rsidRDefault="005953D3" w:rsidP="005953D3">
      <w:pPr>
        <w:pStyle w:val="ListParagraph"/>
        <w:numPr>
          <w:ilvl w:val="1"/>
          <w:numId w:val="1"/>
        </w:numPr>
      </w:pPr>
      <w:r w:rsidRPr="005953D3">
        <w:t>for each outcome variable, the results from the simple linear regression model (assuming one constant slope) and the piece- wise regression model (assuming varying slopes as de</w:t>
      </w:r>
      <w:r>
        <w:t>fi</w:t>
      </w:r>
      <w:r w:rsidRPr="005953D3">
        <w:t xml:space="preserve">ned by the thresholds) could be compared statistically. e.g., statistical test, adjusted R2s from two models, and the Akaike information criterion (AIC; Akaike, 1974) are available as evidence for the viability of the thresholds. </w:t>
      </w:r>
    </w:p>
    <w:p w14:paraId="258D9579" w14:textId="0B6C9049" w:rsidR="005953D3" w:rsidRPr="005953D3" w:rsidRDefault="005953D3" w:rsidP="008D2F74">
      <w:pPr>
        <w:pStyle w:val="ListParagraph"/>
        <w:numPr>
          <w:ilvl w:val="1"/>
          <w:numId w:val="1"/>
        </w:numPr>
      </w:pPr>
      <w:r>
        <w:t xml:space="preserve">Lastly, compare linear regression with piecewise regression </w:t>
      </w:r>
      <w:r w:rsidR="00FE691E">
        <w:t>based on F statistics (statistical significance), adjusted R2 (higher value indicating better fit), and AIC (lower value indicating better fit)</w:t>
      </w:r>
    </w:p>
    <w:p w14:paraId="210A5BF2" w14:textId="17D089D6" w:rsidR="00CD366F" w:rsidRPr="00CD366F" w:rsidRDefault="00CD366F" w:rsidP="00CD366F"/>
    <w:p w14:paraId="48C0D350" w14:textId="1FF5A1BD" w:rsidR="000E44D7" w:rsidRDefault="00FE691E" w:rsidP="000E44D7">
      <w:pPr>
        <w:rPr>
          <w:rFonts w:ascii="Times New Roman" w:hAnsi="Times New Roman" w:cs="Times New Roman"/>
        </w:rPr>
      </w:pPr>
      <w:r>
        <w:rPr>
          <w:rFonts w:ascii="Times New Roman" w:hAnsi="Times New Roman" w:cs="Times New Roman"/>
          <w:noProof/>
        </w:rPr>
        <w:drawing>
          <wp:inline distT="0" distB="0" distL="0" distR="0" wp14:anchorId="2D4AA17C" wp14:editId="60A90567">
            <wp:extent cx="5943600" cy="244157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41575"/>
                    </a:xfrm>
                    <a:prstGeom prst="rect">
                      <a:avLst/>
                    </a:prstGeom>
                  </pic:spPr>
                </pic:pic>
              </a:graphicData>
            </a:graphic>
          </wp:inline>
        </w:drawing>
      </w:r>
    </w:p>
    <w:p w14:paraId="0D002341" w14:textId="59553234" w:rsidR="000E44D7" w:rsidRDefault="000E44D7" w:rsidP="000E44D7">
      <w:pPr>
        <w:rPr>
          <w:rFonts w:ascii="Times New Roman" w:hAnsi="Times New Roman" w:cs="Times New Roman"/>
        </w:rPr>
      </w:pPr>
    </w:p>
    <w:p w14:paraId="1FD54C2B" w14:textId="77777777" w:rsidR="004B7466" w:rsidRDefault="004B7466" w:rsidP="000E44D7">
      <w:pPr>
        <w:rPr>
          <w:rFonts w:ascii="Times New Roman" w:hAnsi="Times New Roman" w:cs="Times New Roman"/>
        </w:rPr>
      </w:pPr>
    </w:p>
    <w:p w14:paraId="790594FA" w14:textId="77777777" w:rsidR="004B7466" w:rsidRDefault="004B7466" w:rsidP="000E44D7">
      <w:pPr>
        <w:rPr>
          <w:rFonts w:ascii="Times New Roman" w:hAnsi="Times New Roman" w:cs="Times New Roman"/>
        </w:rPr>
      </w:pPr>
    </w:p>
    <w:p w14:paraId="7019135E" w14:textId="6AADDD18" w:rsidR="00AD0A17" w:rsidRDefault="00AD0A17" w:rsidP="00AD0A17">
      <w:pPr>
        <w:rPr>
          <w:rFonts w:ascii="Times New Roman" w:hAnsi="Times New Roman" w:cs="Times New Roman"/>
        </w:rPr>
      </w:pPr>
      <w:proofErr w:type="spellStart"/>
      <w:r>
        <w:rPr>
          <w:rFonts w:ascii="Times New Roman" w:hAnsi="Times New Roman" w:cs="Times New Roman"/>
        </w:rPr>
        <w:t>Papay</w:t>
      </w:r>
      <w:proofErr w:type="spellEnd"/>
      <w:r>
        <w:rPr>
          <w:rFonts w:ascii="Times New Roman" w:hAnsi="Times New Roman" w:cs="Times New Roman"/>
        </w:rPr>
        <w:t xml:space="preserve"> and Kraft, 2015: </w:t>
      </w:r>
    </w:p>
    <w:p w14:paraId="2B07C3BA" w14:textId="63EC8086" w:rsidR="000415BF" w:rsidRDefault="000415BF" w:rsidP="00AD0A17">
      <w:pPr>
        <w:rPr>
          <w:rFonts w:ascii="Times New Roman" w:hAnsi="Times New Roman" w:cs="Times New Roman"/>
        </w:rPr>
      </w:pPr>
    </w:p>
    <w:p w14:paraId="030B793D" w14:textId="77777777" w:rsidR="000415BF" w:rsidRDefault="000415BF" w:rsidP="00AD0A17">
      <w:pPr>
        <w:rPr>
          <w:rFonts w:ascii="Times New Roman" w:hAnsi="Times New Roman" w:cs="Times New Roman"/>
        </w:rPr>
      </w:pPr>
    </w:p>
    <w:p w14:paraId="0D08F5C9" w14:textId="77777777" w:rsidR="00AD0A17" w:rsidRDefault="00AD0A17" w:rsidP="00AD0A17">
      <w:pPr>
        <w:pStyle w:val="ListParagraph"/>
        <w:numPr>
          <w:ilvl w:val="0"/>
          <w:numId w:val="2"/>
        </w:numPr>
      </w:pPr>
      <w:r>
        <w:t>Models</w:t>
      </w:r>
    </w:p>
    <w:p w14:paraId="2BC9E495" w14:textId="77777777" w:rsidR="00AD0A17" w:rsidRDefault="00AD0A17" w:rsidP="00AD0A17">
      <w:pPr>
        <w:pStyle w:val="ListParagraph"/>
        <w:numPr>
          <w:ilvl w:val="1"/>
          <w:numId w:val="2"/>
        </w:numPr>
      </w:pPr>
      <w:r>
        <w:t>Censored growth model</w:t>
      </w:r>
    </w:p>
    <w:p w14:paraId="7B52E352" w14:textId="77777777" w:rsidR="00AD0A17" w:rsidRDefault="00AD0A17" w:rsidP="00AD0A17">
      <w:pPr>
        <w:pStyle w:val="ListParagraph"/>
        <w:numPr>
          <w:ilvl w:val="1"/>
          <w:numId w:val="2"/>
        </w:numPr>
      </w:pPr>
      <w:r>
        <w:lastRenderedPageBreak/>
        <w:t>Indicator variable model</w:t>
      </w:r>
    </w:p>
    <w:p w14:paraId="35E7ADA9" w14:textId="77777777" w:rsidR="00AD0A17" w:rsidRDefault="00AD0A17" w:rsidP="00AD0A17">
      <w:pPr>
        <w:pStyle w:val="ListParagraph"/>
        <w:numPr>
          <w:ilvl w:val="1"/>
          <w:numId w:val="2"/>
        </w:numPr>
      </w:pPr>
      <w:r>
        <w:t>Discontinuous career model</w:t>
      </w:r>
    </w:p>
    <w:p w14:paraId="13FE0364" w14:textId="77777777" w:rsidR="00AD0A17" w:rsidRDefault="00AD0A17" w:rsidP="00AD0A17">
      <w:pPr>
        <w:pStyle w:val="ListParagraph"/>
        <w:numPr>
          <w:ilvl w:val="1"/>
          <w:numId w:val="2"/>
        </w:numPr>
      </w:pPr>
      <w:r>
        <w:t>Two-stage model</w:t>
      </w:r>
    </w:p>
    <w:p w14:paraId="12D4C263" w14:textId="77777777" w:rsidR="00AD0A17" w:rsidRDefault="00AD0A17" w:rsidP="00AD0A17">
      <w:pPr>
        <w:pStyle w:val="ListParagraph"/>
        <w:numPr>
          <w:ilvl w:val="0"/>
          <w:numId w:val="2"/>
        </w:numPr>
      </w:pPr>
      <w:r>
        <w:t>Findings</w:t>
      </w:r>
    </w:p>
    <w:p w14:paraId="07320624" w14:textId="77777777" w:rsidR="00AD0A17" w:rsidRDefault="00AD0A17" w:rsidP="00AD0A17">
      <w:pPr>
        <w:pStyle w:val="ListParagraph"/>
        <w:numPr>
          <w:ilvl w:val="1"/>
          <w:numId w:val="2"/>
        </w:numPr>
      </w:pPr>
      <w:r>
        <w:t>using “</w:t>
      </w:r>
      <w:r w:rsidRPr="004242F4">
        <w:t>estimated contributions to student test score gains as a proxy for productivity</w:t>
      </w:r>
      <w:r>
        <w:t xml:space="preserve">”, </w:t>
      </w:r>
      <w:r w:rsidRPr="00CD366F">
        <w:t xml:space="preserve">we find </w:t>
      </w:r>
      <w:r>
        <w:t>“</w:t>
      </w:r>
      <w:r w:rsidRPr="00CD366F">
        <w:t xml:space="preserve">that teachers in the district improve most rapidly at the beginning of their careers. </w:t>
      </w:r>
    </w:p>
    <w:p w14:paraId="25225312" w14:textId="77777777" w:rsidR="00AD0A17" w:rsidRDefault="00AD0A17" w:rsidP="00AD0A17">
      <w:pPr>
        <w:pStyle w:val="ListParagraph"/>
        <w:numPr>
          <w:ilvl w:val="1"/>
          <w:numId w:val="2"/>
        </w:numPr>
      </w:pPr>
      <w:r w:rsidRPr="00CD366F">
        <w:t xml:space="preserve">However, across models, we find that teachers continue to improve, albeit at lesser rates, past their first five years in the classroom. </w:t>
      </w:r>
    </w:p>
    <w:p w14:paraId="30D991A9" w14:textId="77777777" w:rsidR="00AD0A17" w:rsidRDefault="00AD0A17" w:rsidP="00AD0A17">
      <w:pPr>
        <w:pStyle w:val="ListParagraph"/>
        <w:numPr>
          <w:ilvl w:val="1"/>
          <w:numId w:val="2"/>
        </w:numPr>
      </w:pPr>
      <w:r w:rsidRPr="00CD366F">
        <w:t>We also find suggestive evidence of continued returns to experience throughout the career, particularly in mathematics</w:t>
      </w:r>
      <w:r>
        <w:t>” in a large southern United States district</w:t>
      </w:r>
      <w:r w:rsidRPr="00CD366F">
        <w:t xml:space="preserve">. </w:t>
      </w:r>
    </w:p>
    <w:p w14:paraId="08B8121B" w14:textId="25B5DC1C" w:rsidR="004B7466" w:rsidRDefault="004B7466" w:rsidP="000E44D7">
      <w:pPr>
        <w:rPr>
          <w:rFonts w:ascii="Times New Roman" w:hAnsi="Times New Roman" w:cs="Times New Roman"/>
        </w:rPr>
      </w:pPr>
    </w:p>
    <w:p w14:paraId="4CC9DE3C" w14:textId="775F893F" w:rsidR="00AD0A17" w:rsidRDefault="00AD0A17" w:rsidP="000E44D7">
      <w:pPr>
        <w:rPr>
          <w:rFonts w:ascii="Times New Roman" w:hAnsi="Times New Roman" w:cs="Times New Roman"/>
        </w:rPr>
      </w:pPr>
    </w:p>
    <w:p w14:paraId="272133D8" w14:textId="4A2E42FF" w:rsidR="00AD0A17" w:rsidRDefault="00AD0A17" w:rsidP="000E44D7">
      <w:pPr>
        <w:rPr>
          <w:rFonts w:ascii="Times New Roman" w:hAnsi="Times New Roman" w:cs="Times New Roman"/>
        </w:rPr>
      </w:pPr>
      <w:r>
        <w:rPr>
          <w:rFonts w:ascii="Times New Roman" w:hAnsi="Times New Roman" w:cs="Times New Roman"/>
        </w:rPr>
        <w:t>Rice 2013:</w:t>
      </w:r>
    </w:p>
    <w:p w14:paraId="52227448" w14:textId="77777777" w:rsidR="00AD0A17" w:rsidRDefault="00AD0A17" w:rsidP="00AD0A17">
      <w:pPr>
        <w:pStyle w:val="NormalWeb"/>
        <w:shd w:val="clear" w:color="auto" w:fill="FFFFFF"/>
      </w:pPr>
      <w:r>
        <w:rPr>
          <w:rFonts w:ascii="Scala" w:hAnsi="Scala"/>
          <w:sz w:val="20"/>
          <w:szCs w:val="20"/>
        </w:rPr>
        <w:t>Teacher experience has long been a central pillar of teacher workforce policies in U.S. school systems. The underlying assumption behind many of these policies is that experience promotes effectiveness, but is this really the case? What does existing evidence tell us about how, why, and for whom teacher experience matters? This policy brief distills the research on teacher experience into four general findings: (</w:t>
      </w:r>
      <w:r>
        <w:rPr>
          <w:rFonts w:ascii="MinionExp" w:hAnsi="MinionExp"/>
          <w:sz w:val="20"/>
          <w:szCs w:val="20"/>
        </w:rPr>
        <w:t>1</w:t>
      </w:r>
      <w:r>
        <w:rPr>
          <w:rFonts w:ascii="Scala" w:hAnsi="Scala"/>
          <w:sz w:val="20"/>
          <w:szCs w:val="20"/>
        </w:rPr>
        <w:t xml:space="preserve">) the effect of experience is most evident during the first few years of teaching; (2) the early-career experience effect varies by level of ed- </w:t>
      </w:r>
      <w:proofErr w:type="spellStart"/>
      <w:r>
        <w:rPr>
          <w:rFonts w:ascii="Scala" w:hAnsi="Scala"/>
          <w:sz w:val="20"/>
          <w:szCs w:val="20"/>
        </w:rPr>
        <w:t>ucation</w:t>
      </w:r>
      <w:proofErr w:type="spellEnd"/>
      <w:r>
        <w:rPr>
          <w:rFonts w:ascii="Scala" w:hAnsi="Scala"/>
          <w:sz w:val="20"/>
          <w:szCs w:val="20"/>
        </w:rPr>
        <w:t xml:space="preserve"> and subject area; (3) inexperienced teachers are most likely to teach in high-poverty schools; and (4) the impact of experience differs for teachers in high- versus low-poverty schools. The brief concludes by discussing the implications of these findings for several key policy measures including teacher compensation, support and professional development, and the unequal distribution of teachers across schools. </w:t>
      </w:r>
    </w:p>
    <w:p w14:paraId="6BCCFA70" w14:textId="3BD8A8C4" w:rsidR="00AD0A17" w:rsidRPr="000415BF" w:rsidRDefault="000415BF" w:rsidP="000415BF">
      <w:pPr>
        <w:pStyle w:val="ListParagraph"/>
        <w:numPr>
          <w:ilvl w:val="0"/>
          <w:numId w:val="5"/>
        </w:numPr>
        <w:rPr>
          <w:rFonts w:ascii="Times New Roman" w:hAnsi="Times New Roman" w:cs="Times New Roman"/>
        </w:rPr>
      </w:pPr>
      <w:r w:rsidRPr="000415BF">
        <w:rPr>
          <w:rFonts w:ascii="Times New Roman" w:hAnsi="Times New Roman" w:cs="Times New Roman"/>
        </w:rPr>
        <w:t>Methods and measures</w:t>
      </w:r>
    </w:p>
    <w:p w14:paraId="0832BC6B" w14:textId="1D730BCC" w:rsidR="000415BF" w:rsidRDefault="000415BF" w:rsidP="000E44D7">
      <w:pPr>
        <w:rPr>
          <w:rFonts w:ascii="Times New Roman" w:hAnsi="Times New Roman" w:cs="Times New Roman"/>
        </w:rPr>
      </w:pPr>
    </w:p>
    <w:p w14:paraId="08FAEFF7" w14:textId="06619BD4" w:rsidR="000415BF" w:rsidRDefault="000415BF" w:rsidP="000E44D7">
      <w:pPr>
        <w:pStyle w:val="ListParagraph"/>
        <w:numPr>
          <w:ilvl w:val="0"/>
          <w:numId w:val="5"/>
        </w:numPr>
        <w:rPr>
          <w:rFonts w:ascii="Times New Roman" w:hAnsi="Times New Roman" w:cs="Times New Roman"/>
        </w:rPr>
      </w:pPr>
      <w:r w:rsidRPr="000415BF">
        <w:rPr>
          <w:rFonts w:ascii="Times New Roman" w:hAnsi="Times New Roman" w:cs="Times New Roman"/>
        </w:rPr>
        <w:t>Findings</w:t>
      </w:r>
    </w:p>
    <w:p w14:paraId="69A3D02E" w14:textId="447078DE" w:rsidR="000415BF" w:rsidRDefault="000415BF" w:rsidP="000415BF">
      <w:pPr>
        <w:pStyle w:val="ListParagraph"/>
        <w:numPr>
          <w:ilvl w:val="1"/>
          <w:numId w:val="5"/>
        </w:numPr>
        <w:rPr>
          <w:rFonts w:ascii="Times New Roman" w:hAnsi="Times New Roman" w:cs="Times New Roman"/>
        </w:rPr>
      </w:pPr>
      <w:r>
        <w:rPr>
          <w:rFonts w:ascii="Times New Roman" w:hAnsi="Times New Roman" w:cs="Times New Roman"/>
        </w:rPr>
        <w:t>Effect of experience is most evident during the first few years of teaching</w:t>
      </w:r>
    </w:p>
    <w:p w14:paraId="29D9C3D4" w14:textId="5A2B00D8" w:rsidR="000415BF" w:rsidRDefault="000415BF" w:rsidP="000415BF">
      <w:pPr>
        <w:pStyle w:val="ListParagraph"/>
        <w:numPr>
          <w:ilvl w:val="1"/>
          <w:numId w:val="5"/>
        </w:numPr>
        <w:rPr>
          <w:rFonts w:ascii="Times New Roman" w:hAnsi="Times New Roman" w:cs="Times New Roman"/>
        </w:rPr>
      </w:pPr>
      <w:r>
        <w:rPr>
          <w:rFonts w:ascii="Times New Roman" w:hAnsi="Times New Roman" w:cs="Times New Roman"/>
        </w:rPr>
        <w:t>The early-career experience effect varies by</w:t>
      </w:r>
    </w:p>
    <w:p w14:paraId="3ECC4D5D" w14:textId="7AE0407E" w:rsidR="000415BF" w:rsidRDefault="000415BF" w:rsidP="000415BF">
      <w:pPr>
        <w:pStyle w:val="ListParagraph"/>
        <w:numPr>
          <w:ilvl w:val="2"/>
          <w:numId w:val="5"/>
        </w:numPr>
        <w:rPr>
          <w:rFonts w:ascii="Times New Roman" w:hAnsi="Times New Roman" w:cs="Times New Roman"/>
        </w:rPr>
      </w:pPr>
      <w:r>
        <w:rPr>
          <w:rFonts w:ascii="Times New Roman" w:hAnsi="Times New Roman" w:cs="Times New Roman"/>
        </w:rPr>
        <w:t>Level of education</w:t>
      </w:r>
    </w:p>
    <w:p w14:paraId="08170D73" w14:textId="627F4751" w:rsidR="000415BF" w:rsidRPr="000415BF" w:rsidRDefault="000415BF" w:rsidP="000415BF">
      <w:pPr>
        <w:pStyle w:val="ListParagraph"/>
        <w:numPr>
          <w:ilvl w:val="2"/>
          <w:numId w:val="5"/>
        </w:numPr>
        <w:rPr>
          <w:rFonts w:ascii="Times New Roman" w:hAnsi="Times New Roman" w:cs="Times New Roman"/>
        </w:rPr>
      </w:pPr>
      <w:r>
        <w:rPr>
          <w:rFonts w:ascii="Times New Roman" w:hAnsi="Times New Roman" w:cs="Times New Roman"/>
        </w:rPr>
        <w:t>Subject area</w:t>
      </w:r>
    </w:p>
    <w:p w14:paraId="1F5B6F55" w14:textId="11CAD378" w:rsidR="00AD0A17" w:rsidRDefault="00AD0A17" w:rsidP="000E44D7">
      <w:pPr>
        <w:rPr>
          <w:rFonts w:ascii="Times New Roman" w:hAnsi="Times New Roman" w:cs="Times New Roman"/>
        </w:rPr>
      </w:pPr>
    </w:p>
    <w:p w14:paraId="2D1F4FED" w14:textId="254A0CD1" w:rsidR="00AD0A17" w:rsidRDefault="00AD0A17" w:rsidP="000E44D7">
      <w:pPr>
        <w:rPr>
          <w:rFonts w:ascii="Times New Roman" w:hAnsi="Times New Roman" w:cs="Times New Roman"/>
        </w:rPr>
      </w:pPr>
    </w:p>
    <w:p w14:paraId="24DA7FF9" w14:textId="77777777" w:rsidR="00AD0A17" w:rsidRDefault="00AD0A17" w:rsidP="000E44D7">
      <w:pPr>
        <w:rPr>
          <w:rFonts w:ascii="Times New Roman" w:hAnsi="Times New Roman" w:cs="Times New Roman"/>
        </w:rPr>
      </w:pPr>
    </w:p>
    <w:p w14:paraId="3473DA92" w14:textId="66313480" w:rsidR="000E44D7" w:rsidRDefault="000E44D7" w:rsidP="000E44D7">
      <w:pPr>
        <w:rPr>
          <w:rFonts w:ascii="Times New Roman" w:hAnsi="Times New Roman" w:cs="Times New Roman"/>
        </w:rPr>
      </w:pPr>
      <w:r>
        <w:rPr>
          <w:rFonts w:ascii="Times New Roman" w:hAnsi="Times New Roman" w:cs="Times New Roman"/>
        </w:rPr>
        <w:t>Causal evidence</w:t>
      </w:r>
    </w:p>
    <w:p w14:paraId="4947453F" w14:textId="4E1C148C" w:rsidR="000E44D7" w:rsidRDefault="000E44D7" w:rsidP="000E44D7">
      <w:pPr>
        <w:rPr>
          <w:rFonts w:ascii="Times New Roman" w:hAnsi="Times New Roman" w:cs="Times New Roman"/>
        </w:rPr>
      </w:pPr>
    </w:p>
    <w:p w14:paraId="7394AD9F" w14:textId="29D5A074" w:rsidR="000E44D7" w:rsidRDefault="000E44D7" w:rsidP="000E44D7">
      <w:pPr>
        <w:rPr>
          <w:rFonts w:ascii="Times New Roman" w:hAnsi="Times New Roman" w:cs="Times New Roman"/>
        </w:rPr>
      </w:pPr>
    </w:p>
    <w:p w14:paraId="03794701" w14:textId="5EA5A211" w:rsidR="000E44D7" w:rsidRDefault="000E44D7" w:rsidP="000E44D7">
      <w:pPr>
        <w:rPr>
          <w:rFonts w:ascii="Times New Roman" w:hAnsi="Times New Roman" w:cs="Times New Roman"/>
        </w:rPr>
      </w:pPr>
    </w:p>
    <w:p w14:paraId="13474291" w14:textId="400DA997" w:rsidR="0045653B" w:rsidRDefault="0045653B">
      <w:pPr>
        <w:rPr>
          <w:rFonts w:ascii="Times New Roman" w:hAnsi="Times New Roman" w:cs="Times New Roman"/>
        </w:rPr>
      </w:pPr>
      <w:r>
        <w:rPr>
          <w:rFonts w:ascii="Times New Roman" w:hAnsi="Times New Roman" w:cs="Times New Roman"/>
        </w:rPr>
        <w:br w:type="page"/>
      </w:r>
    </w:p>
    <w:p w14:paraId="301AFB22" w14:textId="77777777" w:rsidR="000E44D7" w:rsidRDefault="000E44D7" w:rsidP="0045653B">
      <w:pPr>
        <w:rPr>
          <w:rFonts w:ascii="Times New Roman" w:hAnsi="Times New Roman" w:cs="Times New Roman"/>
        </w:rPr>
      </w:pPr>
    </w:p>
    <w:p w14:paraId="26A8BA52" w14:textId="4B484F67" w:rsidR="003220CF" w:rsidRDefault="00FF285B" w:rsidP="00FF285B">
      <w:pPr>
        <w:jc w:val="center"/>
        <w:rPr>
          <w:rFonts w:ascii="Times New Roman" w:hAnsi="Times New Roman" w:cs="Times New Roman"/>
        </w:rPr>
      </w:pPr>
      <w:r>
        <w:rPr>
          <w:rFonts w:ascii="Times New Roman" w:hAnsi="Times New Roman" w:cs="Times New Roman"/>
        </w:rPr>
        <w:t>References</w:t>
      </w:r>
    </w:p>
    <w:p w14:paraId="7827BA47" w14:textId="77777777" w:rsidR="00FF285B" w:rsidRPr="003220CF" w:rsidRDefault="00FF285B" w:rsidP="006D7C62">
      <w:pPr>
        <w:rPr>
          <w:rFonts w:ascii="Times New Roman" w:hAnsi="Times New Roman" w:cs="Times New Roman"/>
        </w:rPr>
      </w:pPr>
    </w:p>
    <w:p w14:paraId="4E9E8318" w14:textId="77777777" w:rsidR="00657426" w:rsidRDefault="003220CF" w:rsidP="00657426">
      <w:pPr>
        <w:ind w:left="720" w:hanging="720"/>
        <w:rPr>
          <w:rFonts w:ascii="Times New Roman" w:hAnsi="Times New Roman" w:cs="Times New Roman"/>
        </w:rPr>
      </w:pPr>
      <w:r w:rsidRPr="003220CF">
        <w:rPr>
          <w:rFonts w:ascii="Times New Roman" w:hAnsi="Times New Roman" w:cs="Times New Roman"/>
        </w:rPr>
        <w:t xml:space="preserve">Aaronson, Barrow, L., &amp; Sander, W. (2007). Teachers and Student Achievement in the Chicago Public High Schools. Journal of Labor Economics, 25(1), 95–135. </w:t>
      </w:r>
      <w:hyperlink r:id="rId6" w:history="1">
        <w:r w:rsidR="004229B7" w:rsidRPr="00D35CE9">
          <w:rPr>
            <w:rStyle w:val="Hyperlink"/>
            <w:rFonts w:ascii="Times New Roman" w:hAnsi="Times New Roman" w:cs="Times New Roman"/>
          </w:rPr>
          <w:t>https://doi.org/10.1086/508733</w:t>
        </w:r>
      </w:hyperlink>
    </w:p>
    <w:p w14:paraId="4D0CA6FA" w14:textId="24C8F283" w:rsidR="003A6543" w:rsidRPr="003A6543" w:rsidRDefault="003A6543" w:rsidP="00BB61BB">
      <w:pPr>
        <w:ind w:left="720" w:hanging="720"/>
        <w:rPr>
          <w:rFonts w:ascii="Times New Roman" w:hAnsi="Times New Roman" w:cs="Times New Roman"/>
        </w:rPr>
      </w:pPr>
      <w:r w:rsidRPr="003A6543">
        <w:rPr>
          <w:rFonts w:ascii="Times New Roman" w:hAnsi="Times New Roman" w:cs="Times New Roman"/>
        </w:rPr>
        <w:t xml:space="preserve">Clotfelter, Ladd, H. F., &amp; </w:t>
      </w:r>
      <w:proofErr w:type="spellStart"/>
      <w:r w:rsidRPr="003A6543">
        <w:rPr>
          <w:rFonts w:ascii="Times New Roman" w:hAnsi="Times New Roman" w:cs="Times New Roman"/>
        </w:rPr>
        <w:t>Vigdor</w:t>
      </w:r>
      <w:proofErr w:type="spellEnd"/>
      <w:r w:rsidRPr="003A6543">
        <w:rPr>
          <w:rFonts w:ascii="Times New Roman" w:hAnsi="Times New Roman" w:cs="Times New Roman"/>
        </w:rPr>
        <w:t xml:space="preserve">, J. L. (2007). Teacher credentials and student achievement: Longitudinal analysis with student fixed effects. Economics of Education Review, 26(6), 673–682. </w:t>
      </w:r>
      <w:hyperlink r:id="rId7" w:history="1">
        <w:r w:rsidR="006D7C62" w:rsidRPr="00D35CE9">
          <w:rPr>
            <w:rStyle w:val="Hyperlink"/>
            <w:rFonts w:ascii="Times New Roman" w:hAnsi="Times New Roman" w:cs="Times New Roman"/>
          </w:rPr>
          <w:t>https://doi.org/10.1016/j.econedurev.2007.10.002</w:t>
        </w:r>
      </w:hyperlink>
      <w:r w:rsidR="006D7C62">
        <w:rPr>
          <w:rFonts w:ascii="Times New Roman" w:hAnsi="Times New Roman" w:cs="Times New Roman"/>
        </w:rPr>
        <w:t xml:space="preserve"> </w:t>
      </w:r>
    </w:p>
    <w:p w14:paraId="5428EF54" w14:textId="1344498C" w:rsidR="004B6701" w:rsidRPr="004B6701" w:rsidRDefault="00F74D93" w:rsidP="00F74D93">
      <w:pPr>
        <w:ind w:left="720" w:hanging="720"/>
        <w:rPr>
          <w:rFonts w:ascii="Times New Roman" w:hAnsi="Times New Roman" w:cs="Times New Roman"/>
        </w:rPr>
      </w:pPr>
      <w:bookmarkStart w:id="2" w:name="ref-harris2011teacher"/>
      <w:bookmarkEnd w:id="0"/>
      <w:r w:rsidRPr="00F74D93">
        <w:rPr>
          <w:rFonts w:ascii="Times New Roman" w:hAnsi="Times New Roman" w:cs="Times New Roman"/>
        </w:rPr>
        <w:t xml:space="preserve">Guarino, </w:t>
      </w:r>
      <w:proofErr w:type="spellStart"/>
      <w:r w:rsidRPr="00F74D93">
        <w:rPr>
          <w:rFonts w:ascii="Times New Roman" w:hAnsi="Times New Roman" w:cs="Times New Roman"/>
        </w:rPr>
        <w:t>Dieterle</w:t>
      </w:r>
      <w:proofErr w:type="spellEnd"/>
      <w:r w:rsidRPr="00F74D93">
        <w:rPr>
          <w:rFonts w:ascii="Times New Roman" w:hAnsi="Times New Roman" w:cs="Times New Roman"/>
        </w:rPr>
        <w:t xml:space="preserve">, S. G., </w:t>
      </w:r>
      <w:proofErr w:type="spellStart"/>
      <w:r w:rsidRPr="00F74D93">
        <w:rPr>
          <w:rFonts w:ascii="Times New Roman" w:hAnsi="Times New Roman" w:cs="Times New Roman"/>
        </w:rPr>
        <w:t>Bargagliotti</w:t>
      </w:r>
      <w:proofErr w:type="spellEnd"/>
      <w:r w:rsidRPr="00F74D93">
        <w:rPr>
          <w:rFonts w:ascii="Times New Roman" w:hAnsi="Times New Roman" w:cs="Times New Roman"/>
        </w:rPr>
        <w:t xml:space="preserve">, A. E., &amp; Mason, W. M. (2013). What Can We Learn About Effective Early Mathematics Teaching? A Framework for Estimating Causal Effects Using Longitudinal Survey Data. Journal of Research on Educational Effectiveness, 6(2), 164–198. </w:t>
      </w:r>
      <w:hyperlink r:id="rId8" w:history="1">
        <w:r w:rsidR="00E60CAF" w:rsidRPr="00261AC2">
          <w:rPr>
            <w:rStyle w:val="Hyperlink"/>
            <w:rFonts w:ascii="Times New Roman" w:hAnsi="Times New Roman" w:cs="Times New Roman"/>
          </w:rPr>
          <w:t>https://doi.org/10.1080/19345747.2012.706695</w:t>
        </w:r>
      </w:hyperlink>
      <w:r w:rsidR="00E60CAF">
        <w:rPr>
          <w:rFonts w:ascii="Times New Roman" w:hAnsi="Times New Roman" w:cs="Times New Roman"/>
        </w:rPr>
        <w:t xml:space="preserve"> </w:t>
      </w:r>
    </w:p>
    <w:p w14:paraId="4D961814" w14:textId="5D61320D" w:rsidR="007F315F" w:rsidRPr="007F315F" w:rsidRDefault="00012269" w:rsidP="000E3477">
      <w:pPr>
        <w:ind w:left="720" w:hanging="720"/>
        <w:rPr>
          <w:rFonts w:ascii="Times New Roman" w:hAnsi="Times New Roman" w:cs="Times New Roman"/>
        </w:rPr>
      </w:pPr>
      <w:r w:rsidRPr="00012269">
        <w:rPr>
          <w:rFonts w:ascii="Times New Roman" w:hAnsi="Times New Roman" w:cs="Times New Roman"/>
        </w:rPr>
        <w:t xml:space="preserve">Harris, &amp; Sass, T. R. (2011). Teacher training, teacher quality and student achievement. Journal of Public Economics, 95(7), 798–812. </w:t>
      </w:r>
      <w:hyperlink r:id="rId9" w:history="1">
        <w:r w:rsidR="00813F8B" w:rsidRPr="00D35CE9">
          <w:rPr>
            <w:rStyle w:val="Hyperlink"/>
            <w:rFonts w:ascii="Times New Roman" w:hAnsi="Times New Roman" w:cs="Times New Roman"/>
          </w:rPr>
          <w:t>https://doi.org/10.1016/j.jpubeco.2010.11.009</w:t>
        </w:r>
      </w:hyperlink>
    </w:p>
    <w:p w14:paraId="49D818E5" w14:textId="77777777" w:rsidR="004B6701" w:rsidRDefault="00BC3DEF" w:rsidP="004B6701">
      <w:pPr>
        <w:ind w:left="720" w:hanging="720"/>
        <w:rPr>
          <w:rFonts w:ascii="Times New Roman" w:hAnsi="Times New Roman" w:cs="Times New Roman"/>
        </w:rPr>
      </w:pPr>
      <w:bookmarkStart w:id="3" w:name="ref-rockoff2004impact"/>
      <w:bookmarkEnd w:id="2"/>
      <w:r w:rsidRPr="00BC3DEF">
        <w:rPr>
          <w:rFonts w:ascii="Times New Roman" w:hAnsi="Times New Roman" w:cs="Times New Roman"/>
        </w:rPr>
        <w:t xml:space="preserve">Ladd, &amp; Sorensen, L. C. (2017). Returns to Teacher Experience: Student Achievement and Motivation in Middle School. Education Finance and Policy, 12(2), 241–279. </w:t>
      </w:r>
      <w:hyperlink r:id="rId10" w:history="1">
        <w:r w:rsidR="00E9731E" w:rsidRPr="00D35CE9">
          <w:rPr>
            <w:rStyle w:val="Hyperlink"/>
            <w:rFonts w:ascii="Times New Roman" w:hAnsi="Times New Roman" w:cs="Times New Roman"/>
          </w:rPr>
          <w:t>https://doi.org/10.1162/EDFP_a_00194</w:t>
        </w:r>
      </w:hyperlink>
    </w:p>
    <w:p w14:paraId="4915977D" w14:textId="619381D3" w:rsidR="004B6701" w:rsidRPr="004B6701" w:rsidRDefault="004B6701" w:rsidP="004B6701">
      <w:pPr>
        <w:ind w:left="720" w:hanging="720"/>
        <w:rPr>
          <w:rFonts w:ascii="Times New Roman" w:hAnsi="Times New Roman" w:cs="Times New Roman"/>
        </w:rPr>
      </w:pPr>
      <w:r w:rsidRPr="004B6701">
        <w:rPr>
          <w:rFonts w:ascii="Times New Roman" w:hAnsi="Times New Roman" w:cs="Times New Roman"/>
        </w:rPr>
        <w:t xml:space="preserve">Lim, &amp; Meer, J. (2017). The impact of teacher-student gender matches: Random assignment evidence from South Korea. The Journal of Human Resources, 52(4), 979–997. </w:t>
      </w:r>
      <w:hyperlink r:id="rId11" w:history="1">
        <w:r w:rsidRPr="00FD6AE6">
          <w:rPr>
            <w:rStyle w:val="Hyperlink"/>
            <w:rFonts w:ascii="Times New Roman" w:hAnsi="Times New Roman" w:cs="Times New Roman"/>
          </w:rPr>
          <w:t>https://doi.org/10.3368/jhr.52.4.1215-7585R1</w:t>
        </w:r>
      </w:hyperlink>
      <w:r>
        <w:rPr>
          <w:rFonts w:ascii="Times New Roman" w:hAnsi="Times New Roman" w:cs="Times New Roman"/>
        </w:rPr>
        <w:t xml:space="preserve"> </w:t>
      </w:r>
    </w:p>
    <w:p w14:paraId="58CBB7EC" w14:textId="77777777" w:rsidR="00D54CA2" w:rsidRPr="00D54CA2" w:rsidRDefault="00E9731E" w:rsidP="00D54CA2">
      <w:pPr>
        <w:ind w:left="720" w:hanging="720"/>
        <w:rPr>
          <w:rFonts w:ascii="Times New Roman" w:hAnsi="Times New Roman" w:cs="Times New Roman"/>
        </w:rPr>
      </w:pPr>
      <w:proofErr w:type="spellStart"/>
      <w:r w:rsidRPr="00E9731E">
        <w:rPr>
          <w:rFonts w:ascii="Times New Roman" w:hAnsi="Times New Roman" w:cs="Times New Roman"/>
        </w:rPr>
        <w:t>Marioni</w:t>
      </w:r>
      <w:proofErr w:type="spellEnd"/>
      <w:r w:rsidRPr="00E9731E">
        <w:rPr>
          <w:rFonts w:ascii="Times New Roman" w:hAnsi="Times New Roman" w:cs="Times New Roman"/>
        </w:rPr>
        <w:t xml:space="preserve">, </w:t>
      </w:r>
      <w:proofErr w:type="spellStart"/>
      <w:r w:rsidRPr="00E9731E">
        <w:rPr>
          <w:rFonts w:ascii="Times New Roman" w:hAnsi="Times New Roman" w:cs="Times New Roman"/>
        </w:rPr>
        <w:t>Freguglia</w:t>
      </w:r>
      <w:proofErr w:type="spellEnd"/>
      <w:r w:rsidRPr="00E9731E">
        <w:rPr>
          <w:rFonts w:ascii="Times New Roman" w:hAnsi="Times New Roman" w:cs="Times New Roman"/>
        </w:rPr>
        <w:t xml:space="preserve">, R. D. S., &amp; Menezes-Filho, N. A. (2020). The impacts of teacher working conditions and human capital on student achievement: evidence from </w:t>
      </w:r>
      <w:proofErr w:type="spellStart"/>
      <w:r w:rsidRPr="00E9731E">
        <w:rPr>
          <w:rFonts w:ascii="Times New Roman" w:hAnsi="Times New Roman" w:cs="Times New Roman"/>
        </w:rPr>
        <w:t>brazilian</w:t>
      </w:r>
      <w:proofErr w:type="spellEnd"/>
      <w:r w:rsidRPr="00E9731E">
        <w:rPr>
          <w:rFonts w:ascii="Times New Roman" w:hAnsi="Times New Roman" w:cs="Times New Roman"/>
        </w:rPr>
        <w:t xml:space="preserve"> longitudinal data. Applied Economics, 52(6), 568–582. </w:t>
      </w:r>
      <w:hyperlink r:id="rId12" w:history="1">
        <w:r w:rsidR="006D7C62" w:rsidRPr="00D35CE9">
          <w:rPr>
            <w:rStyle w:val="Hyperlink"/>
            <w:rFonts w:ascii="Times New Roman" w:hAnsi="Times New Roman" w:cs="Times New Roman"/>
          </w:rPr>
          <w:t>https://doi.org/10.1080/00036846.2019.1650885</w:t>
        </w:r>
      </w:hyperlink>
      <w:r w:rsidR="006D7C62">
        <w:rPr>
          <w:rFonts w:ascii="Times New Roman" w:hAnsi="Times New Roman" w:cs="Times New Roman"/>
        </w:rPr>
        <w:t xml:space="preserve"> </w:t>
      </w:r>
    </w:p>
    <w:p w14:paraId="41B298EA" w14:textId="77777777" w:rsidR="00D54CA2" w:rsidRPr="00D54CA2" w:rsidRDefault="00D54CA2" w:rsidP="00D54CA2">
      <w:pPr>
        <w:ind w:left="720" w:hanging="720"/>
        <w:rPr>
          <w:rFonts w:ascii="Times New Roman" w:hAnsi="Times New Roman" w:cs="Times New Roman"/>
        </w:rPr>
      </w:pPr>
      <w:proofErr w:type="spellStart"/>
      <w:r w:rsidRPr="00D54CA2">
        <w:rPr>
          <w:rFonts w:ascii="Times New Roman" w:hAnsi="Times New Roman" w:cs="Times New Roman"/>
        </w:rPr>
        <w:t>Papay</w:t>
      </w:r>
      <w:proofErr w:type="spellEnd"/>
      <w:r w:rsidRPr="00D54CA2">
        <w:rPr>
          <w:rFonts w:ascii="Times New Roman" w:hAnsi="Times New Roman" w:cs="Times New Roman"/>
        </w:rPr>
        <w:t xml:space="preserve">, &amp; Kraft, M. A. (2015). Productivity returns to experience in the teacher labor market: Methodological challenges and new evidence on long-term career improvement. Journal of Public Economics, 130, 105–119. </w:t>
      </w:r>
      <w:hyperlink r:id="rId13" w:history="1">
        <w:r w:rsidRPr="005F7F8A">
          <w:rPr>
            <w:rStyle w:val="Hyperlink"/>
            <w:rFonts w:ascii="Times New Roman" w:hAnsi="Times New Roman" w:cs="Times New Roman"/>
          </w:rPr>
          <w:t>https://doi.org/10.1016/j.jpubeco.2015.02.008</w:t>
        </w:r>
      </w:hyperlink>
      <w:r>
        <w:rPr>
          <w:rFonts w:ascii="Times New Roman" w:hAnsi="Times New Roman" w:cs="Times New Roman"/>
        </w:rPr>
        <w:t xml:space="preserve"> </w:t>
      </w:r>
    </w:p>
    <w:p w14:paraId="1D1968BE" w14:textId="6AB55943" w:rsidR="00E9731E" w:rsidRPr="00E9731E" w:rsidRDefault="00D54CA2" w:rsidP="00D54CA2">
      <w:pPr>
        <w:ind w:left="720" w:hanging="720"/>
        <w:rPr>
          <w:rFonts w:ascii="Times New Roman" w:hAnsi="Times New Roman" w:cs="Times New Roman"/>
        </w:rPr>
      </w:pPr>
      <w:r w:rsidRPr="00D54CA2">
        <w:rPr>
          <w:rFonts w:ascii="Times New Roman" w:hAnsi="Times New Roman" w:cs="Times New Roman"/>
        </w:rPr>
        <w:t xml:space="preserve">Rice. (2013). Learning from Experience? Evidence on the Impact and Distribution of Teacher Experience and the Implications for Teacher Policy. Education Finance and Policy, 8(3), 332–348. </w:t>
      </w:r>
      <w:hyperlink r:id="rId14" w:history="1">
        <w:r w:rsidR="00AD0A17" w:rsidRPr="00261AC2">
          <w:rPr>
            <w:rStyle w:val="Hyperlink"/>
            <w:rFonts w:ascii="Times New Roman" w:hAnsi="Times New Roman" w:cs="Times New Roman"/>
          </w:rPr>
          <w:t>https://doi.org/10.1162/EDFP_a_00099</w:t>
        </w:r>
      </w:hyperlink>
      <w:r w:rsidR="00AD0A17">
        <w:rPr>
          <w:rFonts w:ascii="Times New Roman" w:hAnsi="Times New Roman" w:cs="Times New Roman"/>
        </w:rPr>
        <w:t xml:space="preserve"> </w:t>
      </w:r>
    </w:p>
    <w:bookmarkEnd w:id="1"/>
    <w:bookmarkEnd w:id="3"/>
    <w:p w14:paraId="46BF01AC" w14:textId="77777777" w:rsidR="003D336D" w:rsidRDefault="00915C81" w:rsidP="003D336D">
      <w:pPr>
        <w:ind w:left="720" w:hanging="720"/>
        <w:rPr>
          <w:rFonts w:ascii="Times New Roman" w:hAnsi="Times New Roman" w:cs="Times New Roman"/>
        </w:rPr>
      </w:pPr>
      <w:r w:rsidRPr="00915C81">
        <w:rPr>
          <w:rFonts w:ascii="Times New Roman" w:hAnsi="Times New Roman" w:cs="Times New Roman"/>
        </w:rPr>
        <w:t xml:space="preserve">Rockoff. (2004). The Impact of Individual Teachers on Student Achievement: Evidence from Panel Data. The American Economic Review, 94(2), 247–252. </w:t>
      </w:r>
      <w:hyperlink r:id="rId15" w:history="1">
        <w:r w:rsidR="003500CE" w:rsidRPr="00D35CE9">
          <w:rPr>
            <w:rStyle w:val="Hyperlink"/>
            <w:rFonts w:ascii="Times New Roman" w:hAnsi="Times New Roman" w:cs="Times New Roman"/>
          </w:rPr>
          <w:t>https://doi.org/10.1257/0002828041302244</w:t>
        </w:r>
      </w:hyperlink>
    </w:p>
    <w:p w14:paraId="7EF87E88" w14:textId="77777777" w:rsidR="00020143" w:rsidRPr="00020143" w:rsidRDefault="003D336D" w:rsidP="00020143">
      <w:pPr>
        <w:ind w:left="720" w:hanging="720"/>
        <w:rPr>
          <w:rFonts w:ascii="Times New Roman" w:hAnsi="Times New Roman" w:cs="Times New Roman"/>
        </w:rPr>
      </w:pPr>
      <w:r w:rsidRPr="003D336D">
        <w:rPr>
          <w:rFonts w:ascii="Times New Roman" w:hAnsi="Times New Roman" w:cs="Times New Roman"/>
        </w:rPr>
        <w:t xml:space="preserve">Sansone. (2017). Why does teacher gender matter? Economics of Education Review, 61(December), 9–18. </w:t>
      </w:r>
      <w:hyperlink r:id="rId16" w:history="1">
        <w:r w:rsidRPr="00FD6AE6">
          <w:rPr>
            <w:rStyle w:val="Hyperlink"/>
            <w:rFonts w:ascii="Times New Roman" w:hAnsi="Times New Roman" w:cs="Times New Roman"/>
          </w:rPr>
          <w:t>https://doi.org/10.1016/j.econedurev.2017.09.004</w:t>
        </w:r>
      </w:hyperlink>
      <w:r>
        <w:rPr>
          <w:rFonts w:ascii="Times New Roman" w:hAnsi="Times New Roman" w:cs="Times New Roman"/>
        </w:rPr>
        <w:t xml:space="preserve"> </w:t>
      </w:r>
    </w:p>
    <w:p w14:paraId="394E7F44" w14:textId="53B42B98" w:rsidR="003D336D" w:rsidRPr="003D336D" w:rsidRDefault="00020143" w:rsidP="00020143">
      <w:pPr>
        <w:ind w:left="720" w:hanging="720"/>
        <w:rPr>
          <w:rFonts w:ascii="Times New Roman" w:hAnsi="Times New Roman" w:cs="Times New Roman"/>
        </w:rPr>
      </w:pPr>
      <w:r w:rsidRPr="00020143">
        <w:rPr>
          <w:rFonts w:ascii="Times New Roman" w:hAnsi="Times New Roman" w:cs="Times New Roman"/>
        </w:rPr>
        <w:t xml:space="preserve">Sansone. (2019). Teacher Characteristics, Student Beliefs, and the Gender Gap in STEM Fields. Educational Evaluation and Policy Analysis, 41(2), 127–144. </w:t>
      </w:r>
      <w:hyperlink r:id="rId17" w:history="1">
        <w:r w:rsidRPr="005F7F8A">
          <w:rPr>
            <w:rStyle w:val="Hyperlink"/>
            <w:rFonts w:ascii="Times New Roman" w:hAnsi="Times New Roman" w:cs="Times New Roman"/>
          </w:rPr>
          <w:t>https://doi.org/10.3102/0162373718819830</w:t>
        </w:r>
      </w:hyperlink>
      <w:r>
        <w:rPr>
          <w:rFonts w:ascii="Times New Roman" w:hAnsi="Times New Roman" w:cs="Times New Roman"/>
        </w:rPr>
        <w:t xml:space="preserve"> </w:t>
      </w:r>
    </w:p>
    <w:p w14:paraId="4B497EFA" w14:textId="2946DDE4" w:rsidR="00E9731E" w:rsidRDefault="00E9731E" w:rsidP="00BB61BB">
      <w:pPr>
        <w:ind w:left="720" w:hanging="720"/>
        <w:rPr>
          <w:rFonts w:ascii="Times New Roman" w:hAnsi="Times New Roman" w:cs="Times New Roman"/>
        </w:rPr>
      </w:pPr>
      <w:r w:rsidRPr="00E9731E">
        <w:rPr>
          <w:rFonts w:ascii="Times New Roman" w:hAnsi="Times New Roman" w:cs="Times New Roman"/>
        </w:rPr>
        <w:t>Wayne, &amp; Youngs, P. (2003). Teacher characteristics and student achievement gains: a review. Review of Educational Research, 73(1), 89–122. https://doi.org/10.3102/00346543073001089</w:t>
      </w:r>
    </w:p>
    <w:p w14:paraId="73B8FDB4" w14:textId="77777777" w:rsidR="00CD366F" w:rsidRPr="00CD366F" w:rsidRDefault="003500CE" w:rsidP="00CD366F">
      <w:pPr>
        <w:ind w:left="720" w:hanging="720"/>
        <w:rPr>
          <w:rFonts w:ascii="Times New Roman" w:hAnsi="Times New Roman" w:cs="Times New Roman"/>
        </w:rPr>
      </w:pPr>
      <w:r w:rsidRPr="003500CE">
        <w:rPr>
          <w:rFonts w:ascii="Times New Roman" w:hAnsi="Times New Roman" w:cs="Times New Roman"/>
        </w:rPr>
        <w:t xml:space="preserve">Winters, Haight, R. C., </w:t>
      </w:r>
      <w:proofErr w:type="spellStart"/>
      <w:r w:rsidRPr="003500CE">
        <w:rPr>
          <w:rFonts w:ascii="Times New Roman" w:hAnsi="Times New Roman" w:cs="Times New Roman"/>
        </w:rPr>
        <w:t>Swaim</w:t>
      </w:r>
      <w:proofErr w:type="spellEnd"/>
      <w:r w:rsidRPr="003500CE">
        <w:rPr>
          <w:rFonts w:ascii="Times New Roman" w:hAnsi="Times New Roman" w:cs="Times New Roman"/>
        </w:rPr>
        <w:t xml:space="preserve">, T. T., &amp; Pickering, K. A. (2013). The effect of same-gender teacher assignment on student achievement in the elementary and secondary grades: Evidence from panel data. Economics of Education Review, 34, 69–75. </w:t>
      </w:r>
      <w:hyperlink r:id="rId18" w:history="1">
        <w:r w:rsidR="00624B12" w:rsidRPr="00FD6AE6">
          <w:rPr>
            <w:rStyle w:val="Hyperlink"/>
            <w:rFonts w:ascii="Times New Roman" w:hAnsi="Times New Roman" w:cs="Times New Roman"/>
          </w:rPr>
          <w:t>https://doi.org/10.1016/j.econedurev.2013.01.007</w:t>
        </w:r>
      </w:hyperlink>
      <w:r w:rsidR="00624B12">
        <w:rPr>
          <w:rFonts w:ascii="Times New Roman" w:hAnsi="Times New Roman" w:cs="Times New Roman"/>
        </w:rPr>
        <w:t xml:space="preserve"> </w:t>
      </w:r>
    </w:p>
    <w:p w14:paraId="4237C4DF" w14:textId="3C57B0B3" w:rsidR="00624B12" w:rsidRPr="00624B12" w:rsidRDefault="00CD366F" w:rsidP="00CD366F">
      <w:pPr>
        <w:ind w:left="720" w:hanging="720"/>
        <w:rPr>
          <w:rFonts w:ascii="Times New Roman" w:hAnsi="Times New Roman" w:cs="Times New Roman"/>
        </w:rPr>
      </w:pPr>
      <w:proofErr w:type="spellStart"/>
      <w:r w:rsidRPr="00CD366F">
        <w:rPr>
          <w:rFonts w:ascii="Times New Roman" w:hAnsi="Times New Roman" w:cs="Times New Roman"/>
        </w:rPr>
        <w:lastRenderedPageBreak/>
        <w:t>Wiswall</w:t>
      </w:r>
      <w:proofErr w:type="spellEnd"/>
      <w:r w:rsidRPr="00CD366F">
        <w:rPr>
          <w:rFonts w:ascii="Times New Roman" w:hAnsi="Times New Roman" w:cs="Times New Roman"/>
        </w:rPr>
        <w:t xml:space="preserve">. (2013). The dynamics of teacher quality. Journal of Public Economics, 100, 61–78. </w:t>
      </w:r>
      <w:hyperlink r:id="rId19" w:history="1">
        <w:r w:rsidRPr="005F7F8A">
          <w:rPr>
            <w:rStyle w:val="Hyperlink"/>
            <w:rFonts w:ascii="Times New Roman" w:hAnsi="Times New Roman" w:cs="Times New Roman"/>
          </w:rPr>
          <w:t>https://doi.org/10.1016/j.jpubeco.2013.01.006</w:t>
        </w:r>
      </w:hyperlink>
      <w:r>
        <w:rPr>
          <w:rFonts w:ascii="Times New Roman" w:hAnsi="Times New Roman" w:cs="Times New Roman"/>
        </w:rPr>
        <w:t xml:space="preserve"> </w:t>
      </w:r>
    </w:p>
    <w:p w14:paraId="708882E3" w14:textId="01957534" w:rsidR="00624B12" w:rsidRPr="00624B12" w:rsidRDefault="00624B12" w:rsidP="00624B12">
      <w:pPr>
        <w:ind w:left="720" w:hanging="720"/>
        <w:rPr>
          <w:rFonts w:ascii="Times New Roman" w:hAnsi="Times New Roman" w:cs="Times New Roman"/>
        </w:rPr>
      </w:pPr>
      <w:r w:rsidRPr="00624B12">
        <w:rPr>
          <w:rFonts w:ascii="Times New Roman" w:hAnsi="Times New Roman" w:cs="Times New Roman"/>
        </w:rPr>
        <w:t xml:space="preserve">Xu, &amp; Li, Q. (2018). Gender achievement gaps among Chinese middle school students and the role of teachers’ gender. Economics of Education Review, 67, 82–93. </w:t>
      </w:r>
      <w:hyperlink r:id="rId20" w:history="1">
        <w:r w:rsidRPr="00FD6AE6">
          <w:rPr>
            <w:rStyle w:val="Hyperlink"/>
            <w:rFonts w:ascii="Times New Roman" w:hAnsi="Times New Roman" w:cs="Times New Roman"/>
          </w:rPr>
          <w:t>https://doi.org/10.1016/j.econedurev.2018.10.002</w:t>
        </w:r>
      </w:hyperlink>
      <w:r>
        <w:rPr>
          <w:rFonts w:ascii="Times New Roman" w:hAnsi="Times New Roman" w:cs="Times New Roman"/>
        </w:rPr>
        <w:t xml:space="preserve"> </w:t>
      </w:r>
    </w:p>
    <w:p w14:paraId="1409E6DB" w14:textId="4012438A" w:rsidR="003500CE" w:rsidRPr="003500CE" w:rsidRDefault="003500CE" w:rsidP="00BB61BB">
      <w:pPr>
        <w:ind w:left="720" w:hanging="720"/>
        <w:rPr>
          <w:rFonts w:ascii="Times New Roman" w:hAnsi="Times New Roman" w:cs="Times New Roman"/>
        </w:rPr>
      </w:pPr>
    </w:p>
    <w:p w14:paraId="5263EF74" w14:textId="36449A41" w:rsidR="005953D3" w:rsidRDefault="005953D3">
      <w:pPr>
        <w:rPr>
          <w:rFonts w:ascii="Times New Roman" w:hAnsi="Times New Roman" w:cs="Times New Roman"/>
        </w:rPr>
      </w:pPr>
      <w:r>
        <w:rPr>
          <w:rFonts w:ascii="Times New Roman" w:hAnsi="Times New Roman" w:cs="Times New Roman"/>
        </w:rPr>
        <w:br w:type="page"/>
      </w:r>
    </w:p>
    <w:p w14:paraId="00DE7C58" w14:textId="2DA30D85" w:rsidR="003500CE" w:rsidRDefault="005953D3" w:rsidP="00915C81">
      <w:pPr>
        <w:rPr>
          <w:rFonts w:ascii="Times New Roman" w:hAnsi="Times New Roman" w:cs="Times New Roman"/>
        </w:rPr>
      </w:pPr>
      <w:r>
        <w:rPr>
          <w:rFonts w:ascii="Times New Roman" w:hAnsi="Times New Roman" w:cs="Times New Roman"/>
        </w:rPr>
        <w:lastRenderedPageBreak/>
        <w:t>Model specifications</w:t>
      </w:r>
    </w:p>
    <w:p w14:paraId="634A70D2" w14:textId="39D70966" w:rsidR="005953D3" w:rsidRDefault="005953D3" w:rsidP="00915C81">
      <w:pPr>
        <w:rPr>
          <w:rFonts w:ascii="Times New Roman" w:hAnsi="Times New Roman" w:cs="Times New Roman"/>
        </w:rPr>
      </w:pPr>
    </w:p>
    <w:p w14:paraId="0990511F" w14:textId="0084B52F" w:rsidR="005953D3" w:rsidRPr="00915C81" w:rsidRDefault="005953D3" w:rsidP="00915C81">
      <w:pPr>
        <w:rPr>
          <w:rFonts w:ascii="Times New Roman" w:hAnsi="Times New Roman" w:cs="Times New Roman"/>
        </w:rPr>
      </w:pPr>
      <w:r>
        <w:rPr>
          <w:noProof/>
        </w:rPr>
        <w:drawing>
          <wp:inline distT="0" distB="0" distL="0" distR="0" wp14:anchorId="7E2771E9" wp14:editId="486BDEBA">
            <wp:extent cx="4538645" cy="1519968"/>
            <wp:effectExtent l="0" t="0" r="0" b="44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57880" cy="1526410"/>
                    </a:xfrm>
                    <a:prstGeom prst="rect">
                      <a:avLst/>
                    </a:prstGeom>
                  </pic:spPr>
                </pic:pic>
              </a:graphicData>
            </a:graphic>
          </wp:inline>
        </w:drawing>
      </w:r>
    </w:p>
    <w:p w14:paraId="2E69BBF9" w14:textId="77777777" w:rsidR="00FE79CB" w:rsidRPr="00FE79CB" w:rsidRDefault="00FE79CB" w:rsidP="00915C81">
      <w:pPr>
        <w:rPr>
          <w:rFonts w:ascii="Times New Roman" w:hAnsi="Times New Roman" w:cs="Times New Roman"/>
        </w:rPr>
      </w:pPr>
    </w:p>
    <w:sectPr w:rsidR="00FE79CB" w:rsidRPr="00FE7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cala">
    <w:altName w:val="Cambria"/>
    <w:panose1 w:val="020B0604020202020204"/>
    <w:charset w:val="00"/>
    <w:family w:val="roman"/>
    <w:notTrueType/>
    <w:pitch w:val="default"/>
  </w:font>
  <w:font w:name="MinionExp">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45BCD"/>
    <w:multiLevelType w:val="hybridMultilevel"/>
    <w:tmpl w:val="328EC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915B3"/>
    <w:multiLevelType w:val="hybridMultilevel"/>
    <w:tmpl w:val="63A2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72B53"/>
    <w:multiLevelType w:val="hybridMultilevel"/>
    <w:tmpl w:val="A5007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82BE1"/>
    <w:multiLevelType w:val="hybridMultilevel"/>
    <w:tmpl w:val="3A42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B6694"/>
    <w:multiLevelType w:val="hybridMultilevel"/>
    <w:tmpl w:val="17F8D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21A66"/>
    <w:multiLevelType w:val="hybridMultilevel"/>
    <w:tmpl w:val="F5546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F75620"/>
    <w:multiLevelType w:val="multilevel"/>
    <w:tmpl w:val="A6884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742879"/>
    <w:multiLevelType w:val="hybridMultilevel"/>
    <w:tmpl w:val="E700A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8520650">
    <w:abstractNumId w:val="2"/>
  </w:num>
  <w:num w:numId="2" w16cid:durableId="980033919">
    <w:abstractNumId w:val="5"/>
  </w:num>
  <w:num w:numId="3" w16cid:durableId="255333644">
    <w:abstractNumId w:val="3"/>
  </w:num>
  <w:num w:numId="4" w16cid:durableId="1997764432">
    <w:abstractNumId w:val="0"/>
  </w:num>
  <w:num w:numId="5" w16cid:durableId="993332729">
    <w:abstractNumId w:val="4"/>
  </w:num>
  <w:num w:numId="6" w16cid:durableId="1852454730">
    <w:abstractNumId w:val="7"/>
  </w:num>
  <w:num w:numId="7" w16cid:durableId="1655261973">
    <w:abstractNumId w:val="1"/>
  </w:num>
  <w:num w:numId="8" w16cid:durableId="20627089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02A"/>
    <w:rsid w:val="00012269"/>
    <w:rsid w:val="00020143"/>
    <w:rsid w:val="0003229D"/>
    <w:rsid w:val="000415BF"/>
    <w:rsid w:val="000748D9"/>
    <w:rsid w:val="000D05CA"/>
    <w:rsid w:val="000E3477"/>
    <w:rsid w:val="000E44D7"/>
    <w:rsid w:val="001B77F3"/>
    <w:rsid w:val="001D1D9D"/>
    <w:rsid w:val="001E03EA"/>
    <w:rsid w:val="001E4773"/>
    <w:rsid w:val="0021702A"/>
    <w:rsid w:val="002B0D04"/>
    <w:rsid w:val="002F6C7D"/>
    <w:rsid w:val="002F7FEA"/>
    <w:rsid w:val="00307685"/>
    <w:rsid w:val="00320BB3"/>
    <w:rsid w:val="003220CF"/>
    <w:rsid w:val="00325B39"/>
    <w:rsid w:val="003500CE"/>
    <w:rsid w:val="00355D5E"/>
    <w:rsid w:val="00385C09"/>
    <w:rsid w:val="003A6543"/>
    <w:rsid w:val="003B0184"/>
    <w:rsid w:val="003B3F43"/>
    <w:rsid w:val="003C414F"/>
    <w:rsid w:val="003D336D"/>
    <w:rsid w:val="00406029"/>
    <w:rsid w:val="004229B7"/>
    <w:rsid w:val="004242F4"/>
    <w:rsid w:val="0045653B"/>
    <w:rsid w:val="00486BC4"/>
    <w:rsid w:val="004B6701"/>
    <w:rsid w:val="004B7466"/>
    <w:rsid w:val="004D66F9"/>
    <w:rsid w:val="004E7400"/>
    <w:rsid w:val="00502CEA"/>
    <w:rsid w:val="005953D3"/>
    <w:rsid w:val="005A6CF5"/>
    <w:rsid w:val="005B6789"/>
    <w:rsid w:val="00621234"/>
    <w:rsid w:val="00624B12"/>
    <w:rsid w:val="00657426"/>
    <w:rsid w:val="006652C6"/>
    <w:rsid w:val="00695FE8"/>
    <w:rsid w:val="006D7C62"/>
    <w:rsid w:val="0075698E"/>
    <w:rsid w:val="00770DB2"/>
    <w:rsid w:val="00795E69"/>
    <w:rsid w:val="007F315F"/>
    <w:rsid w:val="00813F8B"/>
    <w:rsid w:val="00823ECF"/>
    <w:rsid w:val="008A59B9"/>
    <w:rsid w:val="008A6711"/>
    <w:rsid w:val="008D2F74"/>
    <w:rsid w:val="008D6DB9"/>
    <w:rsid w:val="00915C81"/>
    <w:rsid w:val="00921A32"/>
    <w:rsid w:val="009575C5"/>
    <w:rsid w:val="009A25C1"/>
    <w:rsid w:val="00A728BA"/>
    <w:rsid w:val="00AD0A17"/>
    <w:rsid w:val="00AD712E"/>
    <w:rsid w:val="00B143C6"/>
    <w:rsid w:val="00B30CE9"/>
    <w:rsid w:val="00B418CC"/>
    <w:rsid w:val="00BA301D"/>
    <w:rsid w:val="00BB61BB"/>
    <w:rsid w:val="00BC3DEF"/>
    <w:rsid w:val="00C8490E"/>
    <w:rsid w:val="00C93D61"/>
    <w:rsid w:val="00CB414A"/>
    <w:rsid w:val="00CC5C5E"/>
    <w:rsid w:val="00CD366F"/>
    <w:rsid w:val="00CF4F0F"/>
    <w:rsid w:val="00D0033C"/>
    <w:rsid w:val="00D313C0"/>
    <w:rsid w:val="00D54CA2"/>
    <w:rsid w:val="00D8079F"/>
    <w:rsid w:val="00DA62D1"/>
    <w:rsid w:val="00E00760"/>
    <w:rsid w:val="00E559E9"/>
    <w:rsid w:val="00E60CAF"/>
    <w:rsid w:val="00E9731E"/>
    <w:rsid w:val="00ED2138"/>
    <w:rsid w:val="00F42D11"/>
    <w:rsid w:val="00F70B2F"/>
    <w:rsid w:val="00F74D93"/>
    <w:rsid w:val="00FC0A36"/>
    <w:rsid w:val="00FD7461"/>
    <w:rsid w:val="00FE691E"/>
    <w:rsid w:val="00FE79CB"/>
    <w:rsid w:val="00FF2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6A0DA6"/>
  <w15:chartTrackingRefBased/>
  <w15:docId w15:val="{A595E28E-63E7-2948-8717-830D74CF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8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8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62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8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18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62D1"/>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75698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13F8B"/>
    <w:rPr>
      <w:color w:val="0563C1" w:themeColor="hyperlink"/>
      <w:u w:val="single"/>
    </w:rPr>
  </w:style>
  <w:style w:type="character" w:styleId="UnresolvedMention">
    <w:name w:val="Unresolved Mention"/>
    <w:basedOn w:val="DefaultParagraphFont"/>
    <w:uiPriority w:val="99"/>
    <w:semiHidden/>
    <w:unhideWhenUsed/>
    <w:rsid w:val="00813F8B"/>
    <w:rPr>
      <w:color w:val="605E5C"/>
      <w:shd w:val="clear" w:color="auto" w:fill="E1DFDD"/>
    </w:rPr>
  </w:style>
  <w:style w:type="character" w:styleId="FollowedHyperlink">
    <w:name w:val="FollowedHyperlink"/>
    <w:basedOn w:val="DefaultParagraphFont"/>
    <w:uiPriority w:val="99"/>
    <w:semiHidden/>
    <w:unhideWhenUsed/>
    <w:rsid w:val="00F74D93"/>
    <w:rPr>
      <w:color w:val="954F72" w:themeColor="followedHyperlink"/>
      <w:u w:val="single"/>
    </w:rPr>
  </w:style>
  <w:style w:type="paragraph" w:styleId="ListParagraph">
    <w:name w:val="List Paragraph"/>
    <w:basedOn w:val="Normal"/>
    <w:uiPriority w:val="34"/>
    <w:qFormat/>
    <w:rsid w:val="008A6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14537">
      <w:bodyDiv w:val="1"/>
      <w:marLeft w:val="0"/>
      <w:marRight w:val="0"/>
      <w:marTop w:val="0"/>
      <w:marBottom w:val="0"/>
      <w:divBdr>
        <w:top w:val="none" w:sz="0" w:space="0" w:color="auto"/>
        <w:left w:val="none" w:sz="0" w:space="0" w:color="auto"/>
        <w:bottom w:val="none" w:sz="0" w:space="0" w:color="auto"/>
        <w:right w:val="none" w:sz="0" w:space="0" w:color="auto"/>
      </w:divBdr>
      <w:divsChild>
        <w:div w:id="889073217">
          <w:marLeft w:val="0"/>
          <w:marRight w:val="0"/>
          <w:marTop w:val="0"/>
          <w:marBottom w:val="0"/>
          <w:divBdr>
            <w:top w:val="none" w:sz="0" w:space="0" w:color="auto"/>
            <w:left w:val="none" w:sz="0" w:space="0" w:color="auto"/>
            <w:bottom w:val="none" w:sz="0" w:space="0" w:color="auto"/>
            <w:right w:val="none" w:sz="0" w:space="0" w:color="auto"/>
          </w:divBdr>
          <w:divsChild>
            <w:div w:id="1925457614">
              <w:marLeft w:val="0"/>
              <w:marRight w:val="0"/>
              <w:marTop w:val="0"/>
              <w:marBottom w:val="0"/>
              <w:divBdr>
                <w:top w:val="none" w:sz="0" w:space="0" w:color="auto"/>
                <w:left w:val="none" w:sz="0" w:space="0" w:color="auto"/>
                <w:bottom w:val="none" w:sz="0" w:space="0" w:color="auto"/>
                <w:right w:val="none" w:sz="0" w:space="0" w:color="auto"/>
              </w:divBdr>
              <w:divsChild>
                <w:div w:id="20351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7760">
      <w:bodyDiv w:val="1"/>
      <w:marLeft w:val="0"/>
      <w:marRight w:val="0"/>
      <w:marTop w:val="0"/>
      <w:marBottom w:val="0"/>
      <w:divBdr>
        <w:top w:val="none" w:sz="0" w:space="0" w:color="auto"/>
        <w:left w:val="none" w:sz="0" w:space="0" w:color="auto"/>
        <w:bottom w:val="none" w:sz="0" w:space="0" w:color="auto"/>
        <w:right w:val="none" w:sz="0" w:space="0" w:color="auto"/>
      </w:divBdr>
      <w:divsChild>
        <w:div w:id="2060397271">
          <w:marLeft w:val="0"/>
          <w:marRight w:val="0"/>
          <w:marTop w:val="0"/>
          <w:marBottom w:val="0"/>
          <w:divBdr>
            <w:top w:val="none" w:sz="0" w:space="0" w:color="auto"/>
            <w:left w:val="none" w:sz="0" w:space="0" w:color="auto"/>
            <w:bottom w:val="none" w:sz="0" w:space="0" w:color="auto"/>
            <w:right w:val="none" w:sz="0" w:space="0" w:color="auto"/>
          </w:divBdr>
          <w:divsChild>
            <w:div w:id="2143649470">
              <w:marLeft w:val="0"/>
              <w:marRight w:val="0"/>
              <w:marTop w:val="0"/>
              <w:marBottom w:val="0"/>
              <w:divBdr>
                <w:top w:val="none" w:sz="0" w:space="0" w:color="auto"/>
                <w:left w:val="none" w:sz="0" w:space="0" w:color="auto"/>
                <w:bottom w:val="none" w:sz="0" w:space="0" w:color="auto"/>
                <w:right w:val="none" w:sz="0" w:space="0" w:color="auto"/>
              </w:divBdr>
              <w:divsChild>
                <w:div w:id="11267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6267">
      <w:bodyDiv w:val="1"/>
      <w:marLeft w:val="0"/>
      <w:marRight w:val="0"/>
      <w:marTop w:val="0"/>
      <w:marBottom w:val="0"/>
      <w:divBdr>
        <w:top w:val="none" w:sz="0" w:space="0" w:color="auto"/>
        <w:left w:val="none" w:sz="0" w:space="0" w:color="auto"/>
        <w:bottom w:val="none" w:sz="0" w:space="0" w:color="auto"/>
        <w:right w:val="none" w:sz="0" w:space="0" w:color="auto"/>
      </w:divBdr>
      <w:divsChild>
        <w:div w:id="1612085937">
          <w:marLeft w:val="0"/>
          <w:marRight w:val="0"/>
          <w:marTop w:val="0"/>
          <w:marBottom w:val="0"/>
          <w:divBdr>
            <w:top w:val="none" w:sz="0" w:space="0" w:color="auto"/>
            <w:left w:val="none" w:sz="0" w:space="0" w:color="auto"/>
            <w:bottom w:val="none" w:sz="0" w:space="0" w:color="auto"/>
            <w:right w:val="none" w:sz="0" w:space="0" w:color="auto"/>
          </w:divBdr>
          <w:divsChild>
            <w:div w:id="2082097483">
              <w:marLeft w:val="0"/>
              <w:marRight w:val="0"/>
              <w:marTop w:val="0"/>
              <w:marBottom w:val="0"/>
              <w:divBdr>
                <w:top w:val="none" w:sz="0" w:space="0" w:color="auto"/>
                <w:left w:val="none" w:sz="0" w:space="0" w:color="auto"/>
                <w:bottom w:val="none" w:sz="0" w:space="0" w:color="auto"/>
                <w:right w:val="none" w:sz="0" w:space="0" w:color="auto"/>
              </w:divBdr>
              <w:divsChild>
                <w:div w:id="9295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601109">
      <w:bodyDiv w:val="1"/>
      <w:marLeft w:val="0"/>
      <w:marRight w:val="0"/>
      <w:marTop w:val="0"/>
      <w:marBottom w:val="0"/>
      <w:divBdr>
        <w:top w:val="none" w:sz="0" w:space="0" w:color="auto"/>
        <w:left w:val="none" w:sz="0" w:space="0" w:color="auto"/>
        <w:bottom w:val="none" w:sz="0" w:space="0" w:color="auto"/>
        <w:right w:val="none" w:sz="0" w:space="0" w:color="auto"/>
      </w:divBdr>
      <w:divsChild>
        <w:div w:id="120612815">
          <w:marLeft w:val="0"/>
          <w:marRight w:val="0"/>
          <w:marTop w:val="0"/>
          <w:marBottom w:val="0"/>
          <w:divBdr>
            <w:top w:val="none" w:sz="0" w:space="0" w:color="auto"/>
            <w:left w:val="none" w:sz="0" w:space="0" w:color="auto"/>
            <w:bottom w:val="none" w:sz="0" w:space="0" w:color="auto"/>
            <w:right w:val="none" w:sz="0" w:space="0" w:color="auto"/>
          </w:divBdr>
          <w:divsChild>
            <w:div w:id="1638951613">
              <w:marLeft w:val="0"/>
              <w:marRight w:val="0"/>
              <w:marTop w:val="0"/>
              <w:marBottom w:val="0"/>
              <w:divBdr>
                <w:top w:val="none" w:sz="0" w:space="0" w:color="auto"/>
                <w:left w:val="none" w:sz="0" w:space="0" w:color="auto"/>
                <w:bottom w:val="none" w:sz="0" w:space="0" w:color="auto"/>
                <w:right w:val="none" w:sz="0" w:space="0" w:color="auto"/>
              </w:divBdr>
              <w:divsChild>
                <w:div w:id="21076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29138">
      <w:bodyDiv w:val="1"/>
      <w:marLeft w:val="0"/>
      <w:marRight w:val="0"/>
      <w:marTop w:val="0"/>
      <w:marBottom w:val="0"/>
      <w:divBdr>
        <w:top w:val="none" w:sz="0" w:space="0" w:color="auto"/>
        <w:left w:val="none" w:sz="0" w:space="0" w:color="auto"/>
        <w:bottom w:val="none" w:sz="0" w:space="0" w:color="auto"/>
        <w:right w:val="none" w:sz="0" w:space="0" w:color="auto"/>
      </w:divBdr>
      <w:divsChild>
        <w:div w:id="43526618">
          <w:marLeft w:val="0"/>
          <w:marRight w:val="0"/>
          <w:marTop w:val="0"/>
          <w:marBottom w:val="0"/>
          <w:divBdr>
            <w:top w:val="none" w:sz="0" w:space="0" w:color="auto"/>
            <w:left w:val="none" w:sz="0" w:space="0" w:color="auto"/>
            <w:bottom w:val="none" w:sz="0" w:space="0" w:color="auto"/>
            <w:right w:val="none" w:sz="0" w:space="0" w:color="auto"/>
          </w:divBdr>
          <w:divsChild>
            <w:div w:id="363410332">
              <w:marLeft w:val="0"/>
              <w:marRight w:val="0"/>
              <w:marTop w:val="0"/>
              <w:marBottom w:val="0"/>
              <w:divBdr>
                <w:top w:val="none" w:sz="0" w:space="0" w:color="auto"/>
                <w:left w:val="none" w:sz="0" w:space="0" w:color="auto"/>
                <w:bottom w:val="none" w:sz="0" w:space="0" w:color="auto"/>
                <w:right w:val="none" w:sz="0" w:space="0" w:color="auto"/>
              </w:divBdr>
              <w:divsChild>
                <w:div w:id="13732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19759">
      <w:bodyDiv w:val="1"/>
      <w:marLeft w:val="0"/>
      <w:marRight w:val="0"/>
      <w:marTop w:val="0"/>
      <w:marBottom w:val="0"/>
      <w:divBdr>
        <w:top w:val="none" w:sz="0" w:space="0" w:color="auto"/>
        <w:left w:val="none" w:sz="0" w:space="0" w:color="auto"/>
        <w:bottom w:val="none" w:sz="0" w:space="0" w:color="auto"/>
        <w:right w:val="none" w:sz="0" w:space="0" w:color="auto"/>
      </w:divBdr>
      <w:divsChild>
        <w:div w:id="242572853">
          <w:marLeft w:val="0"/>
          <w:marRight w:val="0"/>
          <w:marTop w:val="0"/>
          <w:marBottom w:val="0"/>
          <w:divBdr>
            <w:top w:val="none" w:sz="0" w:space="0" w:color="auto"/>
            <w:left w:val="none" w:sz="0" w:space="0" w:color="auto"/>
            <w:bottom w:val="none" w:sz="0" w:space="0" w:color="auto"/>
            <w:right w:val="none" w:sz="0" w:space="0" w:color="auto"/>
          </w:divBdr>
          <w:divsChild>
            <w:div w:id="2145535895">
              <w:marLeft w:val="0"/>
              <w:marRight w:val="0"/>
              <w:marTop w:val="0"/>
              <w:marBottom w:val="0"/>
              <w:divBdr>
                <w:top w:val="none" w:sz="0" w:space="0" w:color="auto"/>
                <w:left w:val="none" w:sz="0" w:space="0" w:color="auto"/>
                <w:bottom w:val="none" w:sz="0" w:space="0" w:color="auto"/>
                <w:right w:val="none" w:sz="0" w:space="0" w:color="auto"/>
              </w:divBdr>
              <w:divsChild>
                <w:div w:id="1364136294">
                  <w:marLeft w:val="0"/>
                  <w:marRight w:val="0"/>
                  <w:marTop w:val="0"/>
                  <w:marBottom w:val="0"/>
                  <w:divBdr>
                    <w:top w:val="none" w:sz="0" w:space="0" w:color="auto"/>
                    <w:left w:val="none" w:sz="0" w:space="0" w:color="auto"/>
                    <w:bottom w:val="none" w:sz="0" w:space="0" w:color="auto"/>
                    <w:right w:val="none" w:sz="0" w:space="0" w:color="auto"/>
                  </w:divBdr>
                  <w:divsChild>
                    <w:div w:id="9751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224841">
      <w:bodyDiv w:val="1"/>
      <w:marLeft w:val="0"/>
      <w:marRight w:val="0"/>
      <w:marTop w:val="0"/>
      <w:marBottom w:val="0"/>
      <w:divBdr>
        <w:top w:val="none" w:sz="0" w:space="0" w:color="auto"/>
        <w:left w:val="none" w:sz="0" w:space="0" w:color="auto"/>
        <w:bottom w:val="none" w:sz="0" w:space="0" w:color="auto"/>
        <w:right w:val="none" w:sz="0" w:space="0" w:color="auto"/>
      </w:divBdr>
      <w:divsChild>
        <w:div w:id="2044553551">
          <w:marLeft w:val="0"/>
          <w:marRight w:val="0"/>
          <w:marTop w:val="0"/>
          <w:marBottom w:val="0"/>
          <w:divBdr>
            <w:top w:val="none" w:sz="0" w:space="0" w:color="auto"/>
            <w:left w:val="none" w:sz="0" w:space="0" w:color="auto"/>
            <w:bottom w:val="none" w:sz="0" w:space="0" w:color="auto"/>
            <w:right w:val="none" w:sz="0" w:space="0" w:color="auto"/>
          </w:divBdr>
          <w:divsChild>
            <w:div w:id="1441947644">
              <w:marLeft w:val="0"/>
              <w:marRight w:val="0"/>
              <w:marTop w:val="0"/>
              <w:marBottom w:val="0"/>
              <w:divBdr>
                <w:top w:val="none" w:sz="0" w:space="0" w:color="auto"/>
                <w:left w:val="none" w:sz="0" w:space="0" w:color="auto"/>
                <w:bottom w:val="none" w:sz="0" w:space="0" w:color="auto"/>
                <w:right w:val="none" w:sz="0" w:space="0" w:color="auto"/>
              </w:divBdr>
              <w:divsChild>
                <w:div w:id="11977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81223">
      <w:bodyDiv w:val="1"/>
      <w:marLeft w:val="0"/>
      <w:marRight w:val="0"/>
      <w:marTop w:val="0"/>
      <w:marBottom w:val="0"/>
      <w:divBdr>
        <w:top w:val="none" w:sz="0" w:space="0" w:color="auto"/>
        <w:left w:val="none" w:sz="0" w:space="0" w:color="auto"/>
        <w:bottom w:val="none" w:sz="0" w:space="0" w:color="auto"/>
        <w:right w:val="none" w:sz="0" w:space="0" w:color="auto"/>
      </w:divBdr>
      <w:divsChild>
        <w:div w:id="601686371">
          <w:marLeft w:val="0"/>
          <w:marRight w:val="0"/>
          <w:marTop w:val="0"/>
          <w:marBottom w:val="0"/>
          <w:divBdr>
            <w:top w:val="none" w:sz="0" w:space="0" w:color="auto"/>
            <w:left w:val="none" w:sz="0" w:space="0" w:color="auto"/>
            <w:bottom w:val="none" w:sz="0" w:space="0" w:color="auto"/>
            <w:right w:val="none" w:sz="0" w:space="0" w:color="auto"/>
          </w:divBdr>
          <w:divsChild>
            <w:div w:id="1119761910">
              <w:marLeft w:val="0"/>
              <w:marRight w:val="0"/>
              <w:marTop w:val="0"/>
              <w:marBottom w:val="0"/>
              <w:divBdr>
                <w:top w:val="none" w:sz="0" w:space="0" w:color="auto"/>
                <w:left w:val="none" w:sz="0" w:space="0" w:color="auto"/>
                <w:bottom w:val="none" w:sz="0" w:space="0" w:color="auto"/>
                <w:right w:val="none" w:sz="0" w:space="0" w:color="auto"/>
              </w:divBdr>
              <w:divsChild>
                <w:div w:id="6547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1330">
      <w:bodyDiv w:val="1"/>
      <w:marLeft w:val="0"/>
      <w:marRight w:val="0"/>
      <w:marTop w:val="0"/>
      <w:marBottom w:val="0"/>
      <w:divBdr>
        <w:top w:val="none" w:sz="0" w:space="0" w:color="auto"/>
        <w:left w:val="none" w:sz="0" w:space="0" w:color="auto"/>
        <w:bottom w:val="none" w:sz="0" w:space="0" w:color="auto"/>
        <w:right w:val="none" w:sz="0" w:space="0" w:color="auto"/>
      </w:divBdr>
      <w:divsChild>
        <w:div w:id="68120262">
          <w:marLeft w:val="0"/>
          <w:marRight w:val="0"/>
          <w:marTop w:val="0"/>
          <w:marBottom w:val="0"/>
          <w:divBdr>
            <w:top w:val="none" w:sz="0" w:space="0" w:color="auto"/>
            <w:left w:val="none" w:sz="0" w:space="0" w:color="auto"/>
            <w:bottom w:val="none" w:sz="0" w:space="0" w:color="auto"/>
            <w:right w:val="none" w:sz="0" w:space="0" w:color="auto"/>
          </w:divBdr>
          <w:divsChild>
            <w:div w:id="850728601">
              <w:marLeft w:val="0"/>
              <w:marRight w:val="0"/>
              <w:marTop w:val="0"/>
              <w:marBottom w:val="0"/>
              <w:divBdr>
                <w:top w:val="none" w:sz="0" w:space="0" w:color="auto"/>
                <w:left w:val="none" w:sz="0" w:space="0" w:color="auto"/>
                <w:bottom w:val="none" w:sz="0" w:space="0" w:color="auto"/>
                <w:right w:val="none" w:sz="0" w:space="0" w:color="auto"/>
              </w:divBdr>
              <w:divsChild>
                <w:div w:id="16581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74303">
      <w:bodyDiv w:val="1"/>
      <w:marLeft w:val="0"/>
      <w:marRight w:val="0"/>
      <w:marTop w:val="0"/>
      <w:marBottom w:val="0"/>
      <w:divBdr>
        <w:top w:val="none" w:sz="0" w:space="0" w:color="auto"/>
        <w:left w:val="none" w:sz="0" w:space="0" w:color="auto"/>
        <w:bottom w:val="none" w:sz="0" w:space="0" w:color="auto"/>
        <w:right w:val="none" w:sz="0" w:space="0" w:color="auto"/>
      </w:divBdr>
      <w:divsChild>
        <w:div w:id="874847259">
          <w:marLeft w:val="0"/>
          <w:marRight w:val="0"/>
          <w:marTop w:val="0"/>
          <w:marBottom w:val="0"/>
          <w:divBdr>
            <w:top w:val="none" w:sz="0" w:space="0" w:color="auto"/>
            <w:left w:val="none" w:sz="0" w:space="0" w:color="auto"/>
            <w:bottom w:val="none" w:sz="0" w:space="0" w:color="auto"/>
            <w:right w:val="none" w:sz="0" w:space="0" w:color="auto"/>
          </w:divBdr>
          <w:divsChild>
            <w:div w:id="179128576">
              <w:marLeft w:val="0"/>
              <w:marRight w:val="0"/>
              <w:marTop w:val="0"/>
              <w:marBottom w:val="0"/>
              <w:divBdr>
                <w:top w:val="none" w:sz="0" w:space="0" w:color="auto"/>
                <w:left w:val="none" w:sz="0" w:space="0" w:color="auto"/>
                <w:bottom w:val="none" w:sz="0" w:space="0" w:color="auto"/>
                <w:right w:val="none" w:sz="0" w:space="0" w:color="auto"/>
              </w:divBdr>
              <w:divsChild>
                <w:div w:id="19394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64362">
      <w:bodyDiv w:val="1"/>
      <w:marLeft w:val="0"/>
      <w:marRight w:val="0"/>
      <w:marTop w:val="0"/>
      <w:marBottom w:val="0"/>
      <w:divBdr>
        <w:top w:val="none" w:sz="0" w:space="0" w:color="auto"/>
        <w:left w:val="none" w:sz="0" w:space="0" w:color="auto"/>
        <w:bottom w:val="none" w:sz="0" w:space="0" w:color="auto"/>
        <w:right w:val="none" w:sz="0" w:space="0" w:color="auto"/>
      </w:divBdr>
      <w:divsChild>
        <w:div w:id="2048680081">
          <w:marLeft w:val="0"/>
          <w:marRight w:val="0"/>
          <w:marTop w:val="0"/>
          <w:marBottom w:val="0"/>
          <w:divBdr>
            <w:top w:val="none" w:sz="0" w:space="0" w:color="auto"/>
            <w:left w:val="none" w:sz="0" w:space="0" w:color="auto"/>
            <w:bottom w:val="none" w:sz="0" w:space="0" w:color="auto"/>
            <w:right w:val="none" w:sz="0" w:space="0" w:color="auto"/>
          </w:divBdr>
          <w:divsChild>
            <w:div w:id="1772120715">
              <w:marLeft w:val="0"/>
              <w:marRight w:val="0"/>
              <w:marTop w:val="0"/>
              <w:marBottom w:val="0"/>
              <w:divBdr>
                <w:top w:val="none" w:sz="0" w:space="0" w:color="auto"/>
                <w:left w:val="none" w:sz="0" w:space="0" w:color="auto"/>
                <w:bottom w:val="none" w:sz="0" w:space="0" w:color="auto"/>
                <w:right w:val="none" w:sz="0" w:space="0" w:color="auto"/>
              </w:divBdr>
              <w:divsChild>
                <w:div w:id="11470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12164">
      <w:bodyDiv w:val="1"/>
      <w:marLeft w:val="0"/>
      <w:marRight w:val="0"/>
      <w:marTop w:val="0"/>
      <w:marBottom w:val="0"/>
      <w:divBdr>
        <w:top w:val="none" w:sz="0" w:space="0" w:color="auto"/>
        <w:left w:val="none" w:sz="0" w:space="0" w:color="auto"/>
        <w:bottom w:val="none" w:sz="0" w:space="0" w:color="auto"/>
        <w:right w:val="none" w:sz="0" w:space="0" w:color="auto"/>
      </w:divBdr>
      <w:divsChild>
        <w:div w:id="818962327">
          <w:marLeft w:val="0"/>
          <w:marRight w:val="0"/>
          <w:marTop w:val="0"/>
          <w:marBottom w:val="0"/>
          <w:divBdr>
            <w:top w:val="none" w:sz="0" w:space="0" w:color="auto"/>
            <w:left w:val="none" w:sz="0" w:space="0" w:color="auto"/>
            <w:bottom w:val="none" w:sz="0" w:space="0" w:color="auto"/>
            <w:right w:val="none" w:sz="0" w:space="0" w:color="auto"/>
          </w:divBdr>
          <w:divsChild>
            <w:div w:id="145980990">
              <w:marLeft w:val="0"/>
              <w:marRight w:val="0"/>
              <w:marTop w:val="0"/>
              <w:marBottom w:val="0"/>
              <w:divBdr>
                <w:top w:val="none" w:sz="0" w:space="0" w:color="auto"/>
                <w:left w:val="none" w:sz="0" w:space="0" w:color="auto"/>
                <w:bottom w:val="none" w:sz="0" w:space="0" w:color="auto"/>
                <w:right w:val="none" w:sz="0" w:space="0" w:color="auto"/>
              </w:divBdr>
              <w:divsChild>
                <w:div w:id="69038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57839">
      <w:bodyDiv w:val="1"/>
      <w:marLeft w:val="0"/>
      <w:marRight w:val="0"/>
      <w:marTop w:val="0"/>
      <w:marBottom w:val="0"/>
      <w:divBdr>
        <w:top w:val="none" w:sz="0" w:space="0" w:color="auto"/>
        <w:left w:val="none" w:sz="0" w:space="0" w:color="auto"/>
        <w:bottom w:val="none" w:sz="0" w:space="0" w:color="auto"/>
        <w:right w:val="none" w:sz="0" w:space="0" w:color="auto"/>
      </w:divBdr>
    </w:div>
    <w:div w:id="1568956754">
      <w:bodyDiv w:val="1"/>
      <w:marLeft w:val="0"/>
      <w:marRight w:val="0"/>
      <w:marTop w:val="0"/>
      <w:marBottom w:val="0"/>
      <w:divBdr>
        <w:top w:val="none" w:sz="0" w:space="0" w:color="auto"/>
        <w:left w:val="none" w:sz="0" w:space="0" w:color="auto"/>
        <w:bottom w:val="none" w:sz="0" w:space="0" w:color="auto"/>
        <w:right w:val="none" w:sz="0" w:space="0" w:color="auto"/>
      </w:divBdr>
      <w:divsChild>
        <w:div w:id="88622868">
          <w:marLeft w:val="0"/>
          <w:marRight w:val="0"/>
          <w:marTop w:val="0"/>
          <w:marBottom w:val="0"/>
          <w:divBdr>
            <w:top w:val="none" w:sz="0" w:space="0" w:color="auto"/>
            <w:left w:val="none" w:sz="0" w:space="0" w:color="auto"/>
            <w:bottom w:val="none" w:sz="0" w:space="0" w:color="auto"/>
            <w:right w:val="none" w:sz="0" w:space="0" w:color="auto"/>
          </w:divBdr>
          <w:divsChild>
            <w:div w:id="1295871581">
              <w:marLeft w:val="0"/>
              <w:marRight w:val="0"/>
              <w:marTop w:val="0"/>
              <w:marBottom w:val="0"/>
              <w:divBdr>
                <w:top w:val="none" w:sz="0" w:space="0" w:color="auto"/>
                <w:left w:val="none" w:sz="0" w:space="0" w:color="auto"/>
                <w:bottom w:val="none" w:sz="0" w:space="0" w:color="auto"/>
                <w:right w:val="none" w:sz="0" w:space="0" w:color="auto"/>
              </w:divBdr>
              <w:divsChild>
                <w:div w:id="8133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87266">
      <w:bodyDiv w:val="1"/>
      <w:marLeft w:val="0"/>
      <w:marRight w:val="0"/>
      <w:marTop w:val="0"/>
      <w:marBottom w:val="0"/>
      <w:divBdr>
        <w:top w:val="none" w:sz="0" w:space="0" w:color="auto"/>
        <w:left w:val="none" w:sz="0" w:space="0" w:color="auto"/>
        <w:bottom w:val="none" w:sz="0" w:space="0" w:color="auto"/>
        <w:right w:val="none" w:sz="0" w:space="0" w:color="auto"/>
      </w:divBdr>
      <w:divsChild>
        <w:div w:id="1486626651">
          <w:marLeft w:val="0"/>
          <w:marRight w:val="0"/>
          <w:marTop w:val="0"/>
          <w:marBottom w:val="0"/>
          <w:divBdr>
            <w:top w:val="none" w:sz="0" w:space="0" w:color="auto"/>
            <w:left w:val="none" w:sz="0" w:space="0" w:color="auto"/>
            <w:bottom w:val="none" w:sz="0" w:space="0" w:color="auto"/>
            <w:right w:val="none" w:sz="0" w:space="0" w:color="auto"/>
          </w:divBdr>
          <w:divsChild>
            <w:div w:id="918948203">
              <w:marLeft w:val="0"/>
              <w:marRight w:val="0"/>
              <w:marTop w:val="0"/>
              <w:marBottom w:val="0"/>
              <w:divBdr>
                <w:top w:val="none" w:sz="0" w:space="0" w:color="auto"/>
                <w:left w:val="none" w:sz="0" w:space="0" w:color="auto"/>
                <w:bottom w:val="none" w:sz="0" w:space="0" w:color="auto"/>
                <w:right w:val="none" w:sz="0" w:space="0" w:color="auto"/>
              </w:divBdr>
              <w:divsChild>
                <w:div w:id="6855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68091">
      <w:bodyDiv w:val="1"/>
      <w:marLeft w:val="0"/>
      <w:marRight w:val="0"/>
      <w:marTop w:val="0"/>
      <w:marBottom w:val="0"/>
      <w:divBdr>
        <w:top w:val="none" w:sz="0" w:space="0" w:color="auto"/>
        <w:left w:val="none" w:sz="0" w:space="0" w:color="auto"/>
        <w:bottom w:val="none" w:sz="0" w:space="0" w:color="auto"/>
        <w:right w:val="none" w:sz="0" w:space="0" w:color="auto"/>
      </w:divBdr>
      <w:divsChild>
        <w:div w:id="1816027539">
          <w:marLeft w:val="0"/>
          <w:marRight w:val="0"/>
          <w:marTop w:val="0"/>
          <w:marBottom w:val="0"/>
          <w:divBdr>
            <w:top w:val="none" w:sz="0" w:space="0" w:color="auto"/>
            <w:left w:val="none" w:sz="0" w:space="0" w:color="auto"/>
            <w:bottom w:val="none" w:sz="0" w:space="0" w:color="auto"/>
            <w:right w:val="none" w:sz="0" w:space="0" w:color="auto"/>
          </w:divBdr>
          <w:divsChild>
            <w:div w:id="2042390021">
              <w:marLeft w:val="0"/>
              <w:marRight w:val="0"/>
              <w:marTop w:val="0"/>
              <w:marBottom w:val="0"/>
              <w:divBdr>
                <w:top w:val="none" w:sz="0" w:space="0" w:color="auto"/>
                <w:left w:val="none" w:sz="0" w:space="0" w:color="auto"/>
                <w:bottom w:val="none" w:sz="0" w:space="0" w:color="auto"/>
                <w:right w:val="none" w:sz="0" w:space="0" w:color="auto"/>
              </w:divBdr>
              <w:divsChild>
                <w:div w:id="6766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80490">
      <w:bodyDiv w:val="1"/>
      <w:marLeft w:val="0"/>
      <w:marRight w:val="0"/>
      <w:marTop w:val="0"/>
      <w:marBottom w:val="0"/>
      <w:divBdr>
        <w:top w:val="none" w:sz="0" w:space="0" w:color="auto"/>
        <w:left w:val="none" w:sz="0" w:space="0" w:color="auto"/>
        <w:bottom w:val="none" w:sz="0" w:space="0" w:color="auto"/>
        <w:right w:val="none" w:sz="0" w:space="0" w:color="auto"/>
      </w:divBdr>
      <w:divsChild>
        <w:div w:id="654801378">
          <w:marLeft w:val="0"/>
          <w:marRight w:val="0"/>
          <w:marTop w:val="0"/>
          <w:marBottom w:val="0"/>
          <w:divBdr>
            <w:top w:val="none" w:sz="0" w:space="0" w:color="auto"/>
            <w:left w:val="none" w:sz="0" w:space="0" w:color="auto"/>
            <w:bottom w:val="none" w:sz="0" w:space="0" w:color="auto"/>
            <w:right w:val="none" w:sz="0" w:space="0" w:color="auto"/>
          </w:divBdr>
          <w:divsChild>
            <w:div w:id="1961297791">
              <w:marLeft w:val="0"/>
              <w:marRight w:val="0"/>
              <w:marTop w:val="0"/>
              <w:marBottom w:val="0"/>
              <w:divBdr>
                <w:top w:val="none" w:sz="0" w:space="0" w:color="auto"/>
                <w:left w:val="none" w:sz="0" w:space="0" w:color="auto"/>
                <w:bottom w:val="none" w:sz="0" w:space="0" w:color="auto"/>
                <w:right w:val="none" w:sz="0" w:space="0" w:color="auto"/>
              </w:divBdr>
              <w:divsChild>
                <w:div w:id="124957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9345747.2012.706695" TargetMode="External"/><Relationship Id="rId13" Type="http://schemas.openxmlformats.org/officeDocument/2006/relationships/hyperlink" Target="https://doi.org/10.1016/j.jpubeco.2015.02.008" TargetMode="External"/><Relationship Id="rId18" Type="http://schemas.openxmlformats.org/officeDocument/2006/relationships/hyperlink" Target="https://doi.org/10.1016/j.econedurev.2013.01.007"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doi.org/10.1016/j.econedurev.2007.10.002" TargetMode="External"/><Relationship Id="rId12" Type="http://schemas.openxmlformats.org/officeDocument/2006/relationships/hyperlink" Target="https://doi.org/10.1080/00036846.2019.1650885" TargetMode="External"/><Relationship Id="rId17" Type="http://schemas.openxmlformats.org/officeDocument/2006/relationships/hyperlink" Target="https://doi.org/10.3102/0162373718819830" TargetMode="External"/><Relationship Id="rId2" Type="http://schemas.openxmlformats.org/officeDocument/2006/relationships/styles" Target="styles.xml"/><Relationship Id="rId16" Type="http://schemas.openxmlformats.org/officeDocument/2006/relationships/hyperlink" Target="https://doi.org/10.1016/j.econedurev.2017.09.004" TargetMode="External"/><Relationship Id="rId20" Type="http://schemas.openxmlformats.org/officeDocument/2006/relationships/hyperlink" Target="https://doi.org/10.1016/j.econedurev.2018.10.002" TargetMode="External"/><Relationship Id="rId1" Type="http://schemas.openxmlformats.org/officeDocument/2006/relationships/numbering" Target="numbering.xml"/><Relationship Id="rId6" Type="http://schemas.openxmlformats.org/officeDocument/2006/relationships/hyperlink" Target="https://doi.org/10.1086/508733" TargetMode="External"/><Relationship Id="rId11" Type="http://schemas.openxmlformats.org/officeDocument/2006/relationships/hyperlink" Target="https://doi.org/10.3368/jhr.52.4.1215-7585R1" TargetMode="External"/><Relationship Id="rId5" Type="http://schemas.openxmlformats.org/officeDocument/2006/relationships/image" Target="media/image1.png"/><Relationship Id="rId15" Type="http://schemas.openxmlformats.org/officeDocument/2006/relationships/hyperlink" Target="https://doi.org/10.1257/0002828041302244" TargetMode="External"/><Relationship Id="rId23" Type="http://schemas.openxmlformats.org/officeDocument/2006/relationships/theme" Target="theme/theme1.xml"/><Relationship Id="rId10" Type="http://schemas.openxmlformats.org/officeDocument/2006/relationships/hyperlink" Target="https://doi.org/10.1162/EDFP_a_00194" TargetMode="External"/><Relationship Id="rId19" Type="http://schemas.openxmlformats.org/officeDocument/2006/relationships/hyperlink" Target="https://doi.org/10.1016/j.jpubeco.2013.01.006" TargetMode="External"/><Relationship Id="rId4" Type="http://schemas.openxmlformats.org/officeDocument/2006/relationships/webSettings" Target="webSettings.xml"/><Relationship Id="rId9" Type="http://schemas.openxmlformats.org/officeDocument/2006/relationships/hyperlink" Target="https://doi.org/10.1016/j.jpubeco.2010.11.009" TargetMode="External"/><Relationship Id="rId14" Type="http://schemas.openxmlformats.org/officeDocument/2006/relationships/hyperlink" Target="https://doi.org/10.1162/EDFP_a_0009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9</Pages>
  <Words>2528</Words>
  <Characters>14413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Claire Zhang</cp:lastModifiedBy>
  <cp:revision>56</cp:revision>
  <dcterms:created xsi:type="dcterms:W3CDTF">2022-10-03T19:44:00Z</dcterms:created>
  <dcterms:modified xsi:type="dcterms:W3CDTF">2022-11-03T10:00:00Z</dcterms:modified>
</cp:coreProperties>
</file>