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AE6C" w14:textId="77777777" w:rsidR="00C8490E" w:rsidRDefault="00C8490E" w:rsidP="000E44D7">
      <w:pPr>
        <w:rPr>
          <w:rFonts w:ascii="Times New Roman" w:hAnsi="Times New Roman" w:cs="Times New Roman"/>
        </w:rPr>
      </w:pPr>
      <w:bookmarkStart w:id="0" w:name="ref-boyd2008narrowing"/>
      <w:bookmarkStart w:id="1" w:name="refs"/>
    </w:p>
    <w:p w14:paraId="606D7186" w14:textId="77777777" w:rsidR="00C8490E" w:rsidRDefault="00C8490E" w:rsidP="000E44D7">
      <w:pPr>
        <w:rPr>
          <w:rFonts w:ascii="Times New Roman" w:hAnsi="Times New Roman" w:cs="Times New Roman"/>
        </w:rPr>
      </w:pPr>
    </w:p>
    <w:p w14:paraId="08990675" w14:textId="02D4C0F4" w:rsidR="000E44D7" w:rsidRDefault="000E44D7" w:rsidP="000E44D7">
      <w:pPr>
        <w:rPr>
          <w:rFonts w:ascii="Times New Roman" w:hAnsi="Times New Roman" w:cs="Times New Roman"/>
        </w:rPr>
      </w:pPr>
      <w:r>
        <w:rPr>
          <w:rFonts w:ascii="Times New Roman" w:hAnsi="Times New Roman" w:cs="Times New Roman"/>
        </w:rPr>
        <w:t>Teacher effect in general</w:t>
      </w:r>
    </w:p>
    <w:p w14:paraId="36FAF13C" w14:textId="54056529" w:rsidR="004E7400" w:rsidRDefault="004E7400" w:rsidP="000E44D7">
      <w:pPr>
        <w:rPr>
          <w:rFonts w:ascii="Times New Roman" w:hAnsi="Times New Roman" w:cs="Times New Roman"/>
        </w:rPr>
      </w:pPr>
    </w:p>
    <w:p w14:paraId="6E06C8FB" w14:textId="061F2DB3" w:rsidR="004E7400" w:rsidRDefault="004E7400" w:rsidP="000E44D7">
      <w:pPr>
        <w:rPr>
          <w:rFonts w:ascii="Times New Roman" w:hAnsi="Times New Roman" w:cs="Times New Roman"/>
        </w:rPr>
      </w:pPr>
      <w:r>
        <w:rPr>
          <w:rFonts w:ascii="Times New Roman" w:hAnsi="Times New Roman" w:cs="Times New Roman"/>
        </w:rPr>
        <w:t>Student level data matters:</w:t>
      </w:r>
    </w:p>
    <w:p w14:paraId="3873DA0E" w14:textId="7B2D306F" w:rsidR="004E7400" w:rsidRDefault="004E7400" w:rsidP="004E7400">
      <w:pPr>
        <w:pStyle w:val="ListParagraph"/>
        <w:numPr>
          <w:ilvl w:val="0"/>
          <w:numId w:val="2"/>
        </w:numPr>
      </w:pPr>
      <w:r>
        <w:t>(</w:t>
      </w:r>
      <w:r w:rsidRPr="004E7400">
        <w:t>Aaronson et al., 2007</w:t>
      </w:r>
      <w:r>
        <w:t xml:space="preserve">) </w:t>
      </w:r>
      <w:r w:rsidRPr="004E7400">
        <w:t xml:space="preserve">A brief sampling of other work on teacher effects includes Murnane (1975), Goldhaber and Brewer (1997), Angrist and </w:t>
      </w:r>
      <w:proofErr w:type="spellStart"/>
      <w:r w:rsidRPr="004E7400">
        <w:t>Lavy</w:t>
      </w:r>
      <w:proofErr w:type="spellEnd"/>
      <w:r w:rsidRPr="004E7400">
        <w:t xml:space="preserve"> (2001), Jepsen and Rivkin (2002), Rivers and Sanders (2002), Jacob and </w:t>
      </w:r>
      <w:proofErr w:type="spellStart"/>
      <w:r w:rsidRPr="004E7400">
        <w:t>Lefgren</w:t>
      </w:r>
      <w:proofErr w:type="spellEnd"/>
      <w:r w:rsidRPr="004E7400">
        <w:t xml:space="preserve"> (2004), Rockoff (2004), Kane and </w:t>
      </w:r>
      <w:proofErr w:type="spellStart"/>
      <w:r w:rsidRPr="004E7400">
        <w:t>Staiger</w:t>
      </w:r>
      <w:proofErr w:type="spellEnd"/>
      <w:r w:rsidRPr="004E7400">
        <w:t xml:space="preserve"> (2005), Rivkin, Hanushek, and Kain (2005), and Kane, Rockoff, and </w:t>
      </w:r>
      <w:proofErr w:type="spellStart"/>
      <w:r w:rsidRPr="004E7400">
        <w:t>Staiger</w:t>
      </w:r>
      <w:proofErr w:type="spellEnd"/>
      <w:r w:rsidRPr="004E7400">
        <w:t xml:space="preserve"> (2006). The earliest studies on teacher quality were hampered by data availability and thus often relied on state- or school-level variation. Ag- </w:t>
      </w:r>
      <w:proofErr w:type="spellStart"/>
      <w:r w:rsidRPr="004E7400">
        <w:t>gregation</w:t>
      </w:r>
      <w:proofErr w:type="spellEnd"/>
      <w:r w:rsidRPr="004E7400">
        <w:t xml:space="preserve"> and measurement error compounded by proxies such as student-teacher ratios and average teacher experience can introduce significant bias. More recent studies, such as Rockoff (2004), Kane and </w:t>
      </w:r>
      <w:proofErr w:type="spellStart"/>
      <w:r w:rsidRPr="004E7400">
        <w:t>Staiger</w:t>
      </w:r>
      <w:proofErr w:type="spellEnd"/>
      <w:r w:rsidRPr="004E7400">
        <w:t xml:space="preserve"> (2005), Rivkin et al. (2005), and Kane et al. (2006), use administrative data like ours to minimize these concerns. </w:t>
      </w:r>
    </w:p>
    <w:p w14:paraId="7480A38A" w14:textId="77777777" w:rsidR="000E44D7" w:rsidRDefault="000E44D7" w:rsidP="000E44D7">
      <w:pPr>
        <w:rPr>
          <w:rFonts w:ascii="Times New Roman" w:hAnsi="Times New Roman" w:cs="Times New Roman"/>
        </w:rPr>
      </w:pPr>
    </w:p>
    <w:p w14:paraId="37AE300C" w14:textId="72149F24" w:rsidR="000E44D7" w:rsidRDefault="000E44D7" w:rsidP="000E44D7">
      <w:pPr>
        <w:rPr>
          <w:rFonts w:ascii="Times New Roman" w:hAnsi="Times New Roman" w:cs="Times New Roman"/>
        </w:rPr>
      </w:pPr>
    </w:p>
    <w:p w14:paraId="1C2A2403" w14:textId="4C1D9DBB" w:rsidR="000E44D7" w:rsidRDefault="000E44D7" w:rsidP="000E44D7">
      <w:pPr>
        <w:rPr>
          <w:rFonts w:ascii="Times New Roman" w:hAnsi="Times New Roman" w:cs="Times New Roman"/>
        </w:rPr>
      </w:pPr>
      <w:r>
        <w:rPr>
          <w:rFonts w:ascii="Times New Roman" w:hAnsi="Times New Roman" w:cs="Times New Roman"/>
        </w:rPr>
        <w:t>Human capital characteristics</w:t>
      </w:r>
    </w:p>
    <w:p w14:paraId="7D7E1465" w14:textId="7CFE4FA1" w:rsidR="000E44D7" w:rsidRDefault="000E44D7" w:rsidP="000E44D7">
      <w:pPr>
        <w:rPr>
          <w:rFonts w:ascii="Times New Roman" w:hAnsi="Times New Roman" w:cs="Times New Roman"/>
        </w:rPr>
      </w:pPr>
    </w:p>
    <w:p w14:paraId="4341D856" w14:textId="43B09BE2" w:rsidR="009A25C1" w:rsidRDefault="002F7FEA" w:rsidP="000E44D7">
      <w:pPr>
        <w:rPr>
          <w:rFonts w:ascii="Times New Roman" w:hAnsi="Times New Roman" w:cs="Times New Roman"/>
        </w:rPr>
      </w:pPr>
      <w:r>
        <w:rPr>
          <w:rFonts w:ascii="Times New Roman" w:hAnsi="Times New Roman" w:cs="Times New Roman"/>
        </w:rPr>
        <w:t>In general,</w:t>
      </w:r>
      <w:r w:rsidR="009A25C1">
        <w:rPr>
          <w:rFonts w:ascii="Times New Roman" w:hAnsi="Times New Roman" w:cs="Times New Roman"/>
        </w:rPr>
        <w:t xml:space="preserve"> researchers agree that human capital measures</w:t>
      </w:r>
      <w:r w:rsidR="00770DB2">
        <w:rPr>
          <w:rFonts w:ascii="Times New Roman" w:hAnsi="Times New Roman" w:cs="Times New Roman"/>
        </w:rPr>
        <w:t xml:space="preserve"> f</w:t>
      </w:r>
      <w:r w:rsidR="009A25C1">
        <w:rPr>
          <w:rFonts w:ascii="Times New Roman" w:hAnsi="Times New Roman" w:cs="Times New Roman"/>
        </w:rPr>
        <w:t xml:space="preserve">requently used in </w:t>
      </w:r>
      <w:r w:rsidR="005A6CF5">
        <w:rPr>
          <w:rFonts w:ascii="Times New Roman" w:hAnsi="Times New Roman" w:cs="Times New Roman"/>
        </w:rPr>
        <w:t>teacher evaluation</w:t>
      </w:r>
      <w:r w:rsidR="00770DB2">
        <w:rPr>
          <w:rFonts w:ascii="Times New Roman" w:hAnsi="Times New Roman" w:cs="Times New Roman"/>
        </w:rPr>
        <w:t xml:space="preserve"> e</w:t>
      </w:r>
      <w:r w:rsidR="009A25C1">
        <w:rPr>
          <w:rFonts w:ascii="Times New Roman" w:hAnsi="Times New Roman" w:cs="Times New Roman"/>
        </w:rPr>
        <w:t xml:space="preserve">xplain little of teacher’s contribution to student academic growth (e.g., Aaronson et al., 2007). </w:t>
      </w:r>
    </w:p>
    <w:p w14:paraId="29DEF4D2" w14:textId="6962DED3" w:rsidR="000E44D7" w:rsidRDefault="000E44D7" w:rsidP="000E44D7">
      <w:pPr>
        <w:rPr>
          <w:rFonts w:ascii="Times New Roman" w:hAnsi="Times New Roman" w:cs="Times New Roman"/>
        </w:rPr>
      </w:pPr>
    </w:p>
    <w:p w14:paraId="110B29E2" w14:textId="37EA8AD5" w:rsidR="000E44D7" w:rsidRDefault="000E44D7" w:rsidP="000E44D7">
      <w:pPr>
        <w:rPr>
          <w:rFonts w:ascii="Times New Roman" w:hAnsi="Times New Roman" w:cs="Times New Roman"/>
        </w:rPr>
      </w:pPr>
      <w:r>
        <w:rPr>
          <w:rFonts w:ascii="Times New Roman" w:hAnsi="Times New Roman" w:cs="Times New Roman"/>
        </w:rPr>
        <w:t>Teacher education background/teacher preparation</w:t>
      </w:r>
    </w:p>
    <w:p w14:paraId="74B127E7" w14:textId="77777777" w:rsidR="004B7466" w:rsidRDefault="004B7466" w:rsidP="004B7466">
      <w:pPr>
        <w:rPr>
          <w:rFonts w:ascii="Times New Roman" w:hAnsi="Times New Roman" w:cs="Times New Roman"/>
        </w:rPr>
      </w:pPr>
      <w:r>
        <w:rPr>
          <w:rFonts w:ascii="Times New Roman" w:hAnsi="Times New Roman" w:cs="Times New Roman"/>
        </w:rPr>
        <w:t>Aaronson et al., 2007:</w:t>
      </w:r>
    </w:p>
    <w:p w14:paraId="114B2D37" w14:textId="13FADA7F" w:rsidR="004B7466" w:rsidRDefault="004B7466" w:rsidP="004B7466">
      <w:pPr>
        <w:pStyle w:val="ListParagraph"/>
        <w:numPr>
          <w:ilvl w:val="0"/>
          <w:numId w:val="2"/>
        </w:numPr>
      </w:pPr>
      <w:r>
        <w:t>Measures</w:t>
      </w:r>
    </w:p>
    <w:p w14:paraId="7350C20E" w14:textId="11E297D7" w:rsidR="004B7466" w:rsidRDefault="004B7466" w:rsidP="004B7466">
      <w:pPr>
        <w:pStyle w:val="ListParagraph"/>
        <w:numPr>
          <w:ilvl w:val="1"/>
          <w:numId w:val="2"/>
        </w:numPr>
      </w:pPr>
      <w:r>
        <w:t>Graduate degree</w:t>
      </w:r>
    </w:p>
    <w:p w14:paraId="3CE7D831" w14:textId="191E774E" w:rsidR="004B7466" w:rsidRDefault="004B7466" w:rsidP="004B7466">
      <w:pPr>
        <w:pStyle w:val="ListParagraph"/>
        <w:numPr>
          <w:ilvl w:val="1"/>
          <w:numId w:val="2"/>
        </w:numPr>
      </w:pPr>
      <w:r>
        <w:t>Major</w:t>
      </w:r>
    </w:p>
    <w:p w14:paraId="6E1F2F8E" w14:textId="1F8DD1B7" w:rsidR="004B7466" w:rsidRDefault="004B7466" w:rsidP="004B7466">
      <w:pPr>
        <w:pStyle w:val="ListParagraph"/>
        <w:numPr>
          <w:ilvl w:val="1"/>
          <w:numId w:val="2"/>
        </w:numPr>
      </w:pPr>
      <w:r>
        <w:t>And more</w:t>
      </w:r>
    </w:p>
    <w:p w14:paraId="0C3658B9" w14:textId="3AD82689" w:rsidR="004B7466" w:rsidRDefault="004B7466" w:rsidP="004B7466">
      <w:pPr>
        <w:pStyle w:val="ListParagraph"/>
        <w:numPr>
          <w:ilvl w:val="0"/>
          <w:numId w:val="2"/>
        </w:numPr>
      </w:pPr>
      <w:r>
        <w:t>Findings</w:t>
      </w:r>
    </w:p>
    <w:p w14:paraId="77FAD4BE" w14:textId="50114A7E" w:rsidR="004B7466" w:rsidRDefault="004B7466" w:rsidP="004B7466">
      <w:pPr>
        <w:pStyle w:val="ListParagraph"/>
        <w:numPr>
          <w:ilvl w:val="1"/>
          <w:numId w:val="2"/>
        </w:numPr>
      </w:pPr>
      <w:r>
        <w:t>No relationship with teacher value-added on math in Chicago public high schools</w:t>
      </w:r>
    </w:p>
    <w:p w14:paraId="3BDCF142" w14:textId="654E8748" w:rsidR="000E44D7" w:rsidRPr="004B7466" w:rsidRDefault="000E44D7" w:rsidP="000E44D7">
      <w:pPr>
        <w:rPr>
          <w:rFonts w:ascii="Times New Roman" w:hAnsi="Times New Roman" w:cs="Times New Roman"/>
          <w:b/>
          <w:bCs/>
        </w:rPr>
      </w:pPr>
    </w:p>
    <w:p w14:paraId="409DDD31" w14:textId="033B7ADE" w:rsidR="000E44D7" w:rsidRDefault="000E44D7" w:rsidP="000E44D7">
      <w:pPr>
        <w:rPr>
          <w:rFonts w:ascii="Times New Roman" w:hAnsi="Times New Roman" w:cs="Times New Roman"/>
        </w:rPr>
      </w:pPr>
    </w:p>
    <w:p w14:paraId="1BE556DD" w14:textId="189B561A" w:rsidR="000E44D7" w:rsidRDefault="000E44D7" w:rsidP="000E44D7">
      <w:pPr>
        <w:rPr>
          <w:rFonts w:ascii="Times New Roman" w:hAnsi="Times New Roman" w:cs="Times New Roman"/>
        </w:rPr>
      </w:pPr>
      <w:r>
        <w:rPr>
          <w:rFonts w:ascii="Times New Roman" w:hAnsi="Times New Roman" w:cs="Times New Roman"/>
        </w:rPr>
        <w:t>Teacher experience/return to teaching</w:t>
      </w:r>
    </w:p>
    <w:p w14:paraId="1A42D114" w14:textId="105BB77F" w:rsidR="004B7466" w:rsidRDefault="004B7466" w:rsidP="000E44D7">
      <w:pPr>
        <w:rPr>
          <w:rFonts w:ascii="Times New Roman" w:hAnsi="Times New Roman" w:cs="Times New Roman"/>
        </w:rPr>
      </w:pPr>
    </w:p>
    <w:p w14:paraId="299B44B3" w14:textId="3C8918D4" w:rsidR="004B7466" w:rsidRDefault="004B7466" w:rsidP="000E44D7">
      <w:pPr>
        <w:rPr>
          <w:rFonts w:ascii="Times New Roman" w:hAnsi="Times New Roman" w:cs="Times New Roman"/>
        </w:rPr>
      </w:pPr>
      <w:r>
        <w:rPr>
          <w:rFonts w:ascii="Times New Roman" w:hAnsi="Times New Roman" w:cs="Times New Roman"/>
        </w:rPr>
        <w:t>Aaronson et al., 2007</w:t>
      </w:r>
      <w:r>
        <w:rPr>
          <w:rFonts w:ascii="Times New Roman" w:hAnsi="Times New Roman" w:cs="Times New Roman"/>
        </w:rPr>
        <w:t>:</w:t>
      </w:r>
    </w:p>
    <w:p w14:paraId="403E60B7" w14:textId="6F96D1E7" w:rsidR="004B7466" w:rsidRDefault="004B7466" w:rsidP="004B7466">
      <w:pPr>
        <w:pStyle w:val="ListParagraph"/>
        <w:numPr>
          <w:ilvl w:val="0"/>
          <w:numId w:val="2"/>
        </w:numPr>
      </w:pPr>
      <w:r>
        <w:t>Model</w:t>
      </w:r>
      <w:r>
        <w:t>s and measures</w:t>
      </w:r>
    </w:p>
    <w:p w14:paraId="4B42DDC8" w14:textId="128E8E15" w:rsidR="004B7466" w:rsidRDefault="004B7466" w:rsidP="004B7466">
      <w:pPr>
        <w:pStyle w:val="ListParagraph"/>
        <w:numPr>
          <w:ilvl w:val="1"/>
          <w:numId w:val="2"/>
        </w:numPr>
      </w:pPr>
      <w:r>
        <w:t>Directly using years measure (age-education-6 then take average within teacher)</w:t>
      </w:r>
    </w:p>
    <w:p w14:paraId="01ED6A9D" w14:textId="07FF7099" w:rsidR="004B7466" w:rsidRDefault="004B7466" w:rsidP="004B7466">
      <w:pPr>
        <w:pStyle w:val="ListParagraph"/>
        <w:numPr>
          <w:ilvl w:val="1"/>
          <w:numId w:val="2"/>
        </w:numPr>
      </w:pPr>
      <w:r>
        <w:t>Also check the dummy variable years&lt;=1</w:t>
      </w:r>
    </w:p>
    <w:p w14:paraId="6D8F63CA" w14:textId="09F2A0D7" w:rsidR="004B7466" w:rsidRDefault="004B7466" w:rsidP="004B7466">
      <w:pPr>
        <w:pStyle w:val="ListParagraph"/>
        <w:numPr>
          <w:ilvl w:val="0"/>
          <w:numId w:val="2"/>
        </w:numPr>
      </w:pPr>
      <w:r>
        <w:t xml:space="preserve">Findings </w:t>
      </w:r>
    </w:p>
    <w:p w14:paraId="4BC6D01A" w14:textId="51FC68C1" w:rsidR="004B7466" w:rsidRDefault="004B7466" w:rsidP="004B7466">
      <w:pPr>
        <w:pStyle w:val="ListParagraph"/>
        <w:numPr>
          <w:ilvl w:val="1"/>
          <w:numId w:val="2"/>
        </w:numPr>
      </w:pPr>
      <w:r>
        <w:t>No relationship with teacher value-added on math in Chicago public high schools</w:t>
      </w:r>
    </w:p>
    <w:p w14:paraId="3451DACA" w14:textId="77777777" w:rsidR="004B7466" w:rsidRDefault="004B7466" w:rsidP="000E44D7">
      <w:pPr>
        <w:rPr>
          <w:rFonts w:ascii="Times New Roman" w:hAnsi="Times New Roman" w:cs="Times New Roman"/>
        </w:rPr>
      </w:pPr>
    </w:p>
    <w:p w14:paraId="21F9259D" w14:textId="77777777" w:rsidR="00CD366F" w:rsidRDefault="00CD366F" w:rsidP="000E44D7">
      <w:pPr>
        <w:rPr>
          <w:rFonts w:ascii="Times New Roman" w:hAnsi="Times New Roman" w:cs="Times New Roman"/>
        </w:rPr>
      </w:pPr>
    </w:p>
    <w:p w14:paraId="7EBA4257" w14:textId="3A0615F4" w:rsidR="00F70B2F" w:rsidRDefault="00F70B2F" w:rsidP="00CD366F">
      <w:pPr>
        <w:rPr>
          <w:rFonts w:ascii="Times New Roman" w:hAnsi="Times New Roman" w:cs="Times New Roman"/>
        </w:rPr>
      </w:pPr>
      <w:r>
        <w:rPr>
          <w:rFonts w:ascii="Times New Roman" w:hAnsi="Times New Roman" w:cs="Times New Roman"/>
        </w:rPr>
        <w:t>Clotfelter et al., 2007:</w:t>
      </w:r>
    </w:p>
    <w:p w14:paraId="1685032A" w14:textId="2F48F163" w:rsidR="00F70B2F" w:rsidRDefault="00F70B2F" w:rsidP="00F70B2F">
      <w:pPr>
        <w:pStyle w:val="ListParagraph"/>
        <w:numPr>
          <w:ilvl w:val="0"/>
          <w:numId w:val="3"/>
        </w:numPr>
        <w:rPr>
          <w:rFonts w:ascii="Times New Roman" w:hAnsi="Times New Roman" w:cs="Times New Roman"/>
        </w:rPr>
      </w:pPr>
      <w:r>
        <w:rPr>
          <w:rFonts w:ascii="Times New Roman" w:hAnsi="Times New Roman" w:cs="Times New Roman"/>
        </w:rPr>
        <w:t>Models and measures</w:t>
      </w:r>
    </w:p>
    <w:p w14:paraId="1C612B59" w14:textId="2CBDB3F7" w:rsidR="006652C6" w:rsidRPr="006652C6" w:rsidRDefault="006652C6" w:rsidP="006652C6">
      <w:pPr>
        <w:pStyle w:val="ListParagraph"/>
        <w:numPr>
          <w:ilvl w:val="1"/>
          <w:numId w:val="3"/>
        </w:numPr>
      </w:pPr>
      <w:r>
        <w:lastRenderedPageBreak/>
        <w:t>“Indicator variable model”, “</w:t>
      </w:r>
      <w:r w:rsidRPr="00695FE8">
        <w:t>by using within-bin variation to estimate the year effects, the Indicator Variable Model relies on a similar functional form assumption. In this case, it assumes that teacher productivity does not change meaningfully within each of these experience bins</w:t>
      </w:r>
      <w:r>
        <w:t>” (</w:t>
      </w:r>
      <w:proofErr w:type="spellStart"/>
      <w:r>
        <w:t>Papay</w:t>
      </w:r>
      <w:proofErr w:type="spellEnd"/>
      <w:r>
        <w:t xml:space="preserve"> and Kraft, 2-15)</w:t>
      </w:r>
    </w:p>
    <w:p w14:paraId="36535A5E" w14:textId="2DC07671" w:rsidR="008D6DB9" w:rsidRDefault="008D6DB9" w:rsidP="008D6DB9">
      <w:pPr>
        <w:pStyle w:val="ListParagraph"/>
        <w:numPr>
          <w:ilvl w:val="1"/>
          <w:numId w:val="3"/>
        </w:numPr>
        <w:rPr>
          <w:rFonts w:ascii="Times New Roman" w:hAnsi="Times New Roman" w:cs="Times New Roman"/>
        </w:rPr>
      </w:pPr>
      <w:r>
        <w:rPr>
          <w:rFonts w:ascii="Times New Roman" w:hAnsi="Times New Roman" w:cs="Times New Roman"/>
        </w:rPr>
        <w:t>Student fixed-effects</w:t>
      </w:r>
    </w:p>
    <w:p w14:paraId="4B8C8F5D" w14:textId="5CA8E393" w:rsidR="006652C6" w:rsidRDefault="006652C6" w:rsidP="008D6DB9">
      <w:pPr>
        <w:pStyle w:val="ListParagraph"/>
        <w:numPr>
          <w:ilvl w:val="1"/>
          <w:numId w:val="3"/>
        </w:numPr>
        <w:rPr>
          <w:rFonts w:ascii="Times New Roman" w:hAnsi="Times New Roman" w:cs="Times New Roman"/>
        </w:rPr>
      </w:pPr>
      <w:r>
        <w:rPr>
          <w:rFonts w:ascii="Times New Roman" w:hAnsi="Times New Roman" w:cs="Times New Roman"/>
        </w:rPr>
        <w:t xml:space="preserve">10 years of </w:t>
      </w:r>
      <w:proofErr w:type="gramStart"/>
      <w:r>
        <w:rPr>
          <w:rFonts w:ascii="Times New Roman" w:hAnsi="Times New Roman" w:cs="Times New Roman"/>
        </w:rPr>
        <w:t>north Carolina</w:t>
      </w:r>
      <w:proofErr w:type="gramEnd"/>
      <w:r>
        <w:rPr>
          <w:rFonts w:ascii="Times New Roman" w:hAnsi="Times New Roman" w:cs="Times New Roman"/>
        </w:rPr>
        <w:t xml:space="preserve"> data</w:t>
      </w:r>
    </w:p>
    <w:p w14:paraId="1899D343" w14:textId="6F52E482" w:rsidR="00F70B2F" w:rsidRDefault="00F70B2F" w:rsidP="008D6DB9">
      <w:pPr>
        <w:pStyle w:val="ListParagraph"/>
        <w:numPr>
          <w:ilvl w:val="1"/>
          <w:numId w:val="3"/>
        </w:numPr>
        <w:rPr>
          <w:rFonts w:ascii="Times New Roman" w:hAnsi="Times New Roman" w:cs="Times New Roman"/>
        </w:rPr>
      </w:pPr>
      <w:r>
        <w:rPr>
          <w:rFonts w:ascii="Times New Roman" w:hAnsi="Times New Roman" w:cs="Times New Roman"/>
        </w:rPr>
        <w:t>Specify years of experience as a series of indicator variables</w:t>
      </w:r>
      <w:r w:rsidR="006652C6">
        <w:rPr>
          <w:rFonts w:ascii="Times New Roman" w:hAnsi="Times New Roman" w:cs="Times New Roman"/>
        </w:rPr>
        <w:t xml:space="preserve"> (1-2, 3-5, 6-12, 13-20, 21-27, and 27+)</w:t>
      </w:r>
      <w:r>
        <w:rPr>
          <w:rFonts w:ascii="Times New Roman" w:hAnsi="Times New Roman" w:cs="Times New Roman"/>
        </w:rPr>
        <w:t>, with the base/left-out category being no experience</w:t>
      </w:r>
    </w:p>
    <w:p w14:paraId="5A1540BE" w14:textId="6C8CBE6E" w:rsidR="006652C6" w:rsidRDefault="006652C6" w:rsidP="006652C6">
      <w:pPr>
        <w:pStyle w:val="ListParagraph"/>
        <w:numPr>
          <w:ilvl w:val="0"/>
          <w:numId w:val="3"/>
        </w:numPr>
        <w:rPr>
          <w:rFonts w:ascii="Times New Roman" w:hAnsi="Times New Roman" w:cs="Times New Roman"/>
        </w:rPr>
      </w:pPr>
      <w:r>
        <w:rPr>
          <w:rFonts w:ascii="Times New Roman" w:hAnsi="Times New Roman" w:cs="Times New Roman"/>
        </w:rPr>
        <w:t>Findings (p.676)</w:t>
      </w:r>
    </w:p>
    <w:p w14:paraId="64C5BBB3" w14:textId="53B83519" w:rsidR="006652C6" w:rsidRDefault="006652C6" w:rsidP="006652C6">
      <w:pPr>
        <w:pStyle w:val="ListParagraph"/>
        <w:numPr>
          <w:ilvl w:val="1"/>
          <w:numId w:val="3"/>
        </w:numPr>
        <w:rPr>
          <w:rFonts w:ascii="Times New Roman" w:hAnsi="Times New Roman" w:cs="Times New Roman"/>
        </w:rPr>
      </w:pPr>
      <w:r>
        <w:rPr>
          <w:rFonts w:ascii="Times New Roman" w:hAnsi="Times New Roman" w:cs="Times New Roman"/>
        </w:rPr>
        <w:t>Larger effects for math than for reading</w:t>
      </w:r>
    </w:p>
    <w:p w14:paraId="5CD9E203" w14:textId="72D15ABA" w:rsidR="006652C6" w:rsidRPr="00F70B2F" w:rsidRDefault="006652C6" w:rsidP="006652C6">
      <w:pPr>
        <w:pStyle w:val="ListParagraph"/>
        <w:numPr>
          <w:ilvl w:val="1"/>
          <w:numId w:val="3"/>
        </w:numPr>
        <w:rPr>
          <w:rFonts w:ascii="Times New Roman" w:hAnsi="Times New Roman" w:cs="Times New Roman"/>
        </w:rPr>
      </w:pPr>
      <w:r>
        <w:rPr>
          <w:rFonts w:ascii="Times New Roman" w:hAnsi="Times New Roman" w:cs="Times New Roman"/>
        </w:rPr>
        <w:t xml:space="preserve">On </w:t>
      </w:r>
      <w:r>
        <w:rPr>
          <w:rFonts w:ascii="Times New Roman" w:hAnsi="Times New Roman" w:cs="Times New Roman"/>
        </w:rPr>
        <w:t>student score gains</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all coefficients of teacher experience indicators are significant; size ranging from 0.072-0.118 in math and 0.043-0.096 in reading </w:t>
      </w:r>
    </w:p>
    <w:p w14:paraId="1347DE6E" w14:textId="77777777" w:rsidR="00F70B2F" w:rsidRDefault="00F70B2F" w:rsidP="00CD366F">
      <w:pPr>
        <w:rPr>
          <w:rFonts w:ascii="Times New Roman" w:hAnsi="Times New Roman" w:cs="Times New Roman"/>
        </w:rPr>
      </w:pPr>
    </w:p>
    <w:p w14:paraId="1236E985" w14:textId="4A900CCD" w:rsidR="00FE691E" w:rsidRDefault="00CD366F" w:rsidP="00CD366F">
      <w:pPr>
        <w:rPr>
          <w:rFonts w:ascii="Times New Roman" w:hAnsi="Times New Roman" w:cs="Times New Roman"/>
        </w:rPr>
      </w:pPr>
      <w:proofErr w:type="spellStart"/>
      <w:r>
        <w:rPr>
          <w:rFonts w:ascii="Times New Roman" w:hAnsi="Times New Roman" w:cs="Times New Roman"/>
        </w:rPr>
        <w:t>Papay</w:t>
      </w:r>
      <w:proofErr w:type="spellEnd"/>
      <w:r>
        <w:rPr>
          <w:rFonts w:ascii="Times New Roman" w:hAnsi="Times New Roman" w:cs="Times New Roman"/>
        </w:rPr>
        <w:t xml:space="preserve"> and Kraft, 2015: </w:t>
      </w:r>
    </w:p>
    <w:p w14:paraId="00606EB3" w14:textId="7F5C5A05" w:rsidR="00FE691E" w:rsidRDefault="00FE691E" w:rsidP="008A6711">
      <w:pPr>
        <w:pStyle w:val="ListParagraph"/>
        <w:numPr>
          <w:ilvl w:val="0"/>
          <w:numId w:val="2"/>
        </w:numPr>
      </w:pPr>
      <w:r>
        <w:t>Models</w:t>
      </w:r>
    </w:p>
    <w:p w14:paraId="77492BAD" w14:textId="09EC0B05" w:rsidR="00FE691E" w:rsidRDefault="00FE691E" w:rsidP="00FE691E">
      <w:pPr>
        <w:pStyle w:val="ListParagraph"/>
        <w:numPr>
          <w:ilvl w:val="1"/>
          <w:numId w:val="2"/>
        </w:numPr>
      </w:pPr>
      <w:r>
        <w:t>Censored growth model</w:t>
      </w:r>
    </w:p>
    <w:p w14:paraId="3F6F6435" w14:textId="028E83D3" w:rsidR="00FE691E" w:rsidRDefault="00FE691E" w:rsidP="00FE691E">
      <w:pPr>
        <w:pStyle w:val="ListParagraph"/>
        <w:numPr>
          <w:ilvl w:val="1"/>
          <w:numId w:val="2"/>
        </w:numPr>
      </w:pPr>
      <w:r>
        <w:t>Indicator variable model</w:t>
      </w:r>
    </w:p>
    <w:p w14:paraId="3063E096" w14:textId="3451DE1C" w:rsidR="00FE691E" w:rsidRDefault="00FE691E" w:rsidP="00FE691E">
      <w:pPr>
        <w:pStyle w:val="ListParagraph"/>
        <w:numPr>
          <w:ilvl w:val="1"/>
          <w:numId w:val="2"/>
        </w:numPr>
      </w:pPr>
      <w:r>
        <w:t>Discontinuous career model</w:t>
      </w:r>
    </w:p>
    <w:p w14:paraId="43C29DDB" w14:textId="621A9C8C" w:rsidR="00FE691E" w:rsidRDefault="00FE691E" w:rsidP="00FE691E">
      <w:pPr>
        <w:pStyle w:val="ListParagraph"/>
        <w:numPr>
          <w:ilvl w:val="1"/>
          <w:numId w:val="2"/>
        </w:numPr>
      </w:pPr>
      <w:r>
        <w:t>Two-stage model</w:t>
      </w:r>
    </w:p>
    <w:p w14:paraId="7EAE9FC9" w14:textId="542A9344" w:rsidR="00FE691E" w:rsidRDefault="00FE691E" w:rsidP="008A6711">
      <w:pPr>
        <w:pStyle w:val="ListParagraph"/>
        <w:numPr>
          <w:ilvl w:val="0"/>
          <w:numId w:val="2"/>
        </w:numPr>
      </w:pPr>
      <w:r>
        <w:t>Findings</w:t>
      </w:r>
    </w:p>
    <w:p w14:paraId="04FC29C1" w14:textId="64327490" w:rsidR="008A6711" w:rsidRDefault="008A6711" w:rsidP="00FE691E">
      <w:pPr>
        <w:pStyle w:val="ListParagraph"/>
        <w:numPr>
          <w:ilvl w:val="1"/>
          <w:numId w:val="2"/>
        </w:numPr>
      </w:pPr>
      <w:r>
        <w:t>u</w:t>
      </w:r>
      <w:r w:rsidR="00CD366F">
        <w:t xml:space="preserve">sing </w:t>
      </w:r>
      <w:r w:rsidR="004242F4">
        <w:t>“</w:t>
      </w:r>
      <w:r w:rsidR="004242F4" w:rsidRPr="004242F4">
        <w:t>estimated contributions to student test score gains as a proxy for productivity</w:t>
      </w:r>
      <w:r w:rsidR="004242F4">
        <w:t>”</w:t>
      </w:r>
      <w:r w:rsidR="00CD366F">
        <w:t xml:space="preserve">, </w:t>
      </w:r>
      <w:r w:rsidR="00CD366F" w:rsidRPr="00CD366F">
        <w:t xml:space="preserve">we find </w:t>
      </w:r>
      <w:r w:rsidR="004242F4">
        <w:t>“</w:t>
      </w:r>
      <w:r w:rsidR="00CD366F" w:rsidRPr="00CD366F">
        <w:t xml:space="preserve">that teachers in the district improve most rapidly at the beginning of their careers. </w:t>
      </w:r>
    </w:p>
    <w:p w14:paraId="52488496" w14:textId="77777777" w:rsidR="008A6711" w:rsidRDefault="00CD366F" w:rsidP="00FE691E">
      <w:pPr>
        <w:pStyle w:val="ListParagraph"/>
        <w:numPr>
          <w:ilvl w:val="1"/>
          <w:numId w:val="2"/>
        </w:numPr>
      </w:pPr>
      <w:r w:rsidRPr="00CD366F">
        <w:t xml:space="preserve">However, across models, we find that teachers continue to improve, albeit at lesser rates, past their first five years in the classroom. </w:t>
      </w:r>
    </w:p>
    <w:p w14:paraId="0767F7C2" w14:textId="58DA85B6" w:rsidR="00CD366F" w:rsidRDefault="00CD366F" w:rsidP="00FE691E">
      <w:pPr>
        <w:pStyle w:val="ListParagraph"/>
        <w:numPr>
          <w:ilvl w:val="1"/>
          <w:numId w:val="2"/>
        </w:numPr>
      </w:pPr>
      <w:r w:rsidRPr="00CD366F">
        <w:t>We also find suggestive evidence of continued returns to experience throughout the career, particularly in mathematics</w:t>
      </w:r>
      <w:r w:rsidR="004242F4">
        <w:t>” in a large southern United States district</w:t>
      </w:r>
      <w:r w:rsidRPr="00CD366F">
        <w:t xml:space="preserve">. </w:t>
      </w:r>
    </w:p>
    <w:p w14:paraId="126F7443" w14:textId="61A91C30" w:rsidR="00CD366F" w:rsidRDefault="00CD366F" w:rsidP="00CD366F"/>
    <w:p w14:paraId="6282BD87" w14:textId="041A95F9" w:rsidR="00502CEA" w:rsidRDefault="00502CEA" w:rsidP="00CD366F">
      <w:r>
        <w:t>Harris and Sass, 2011:</w:t>
      </w:r>
    </w:p>
    <w:p w14:paraId="0AF82F80" w14:textId="17993F32" w:rsidR="00502CEA" w:rsidRDefault="00502CEA" w:rsidP="00502CEA">
      <w:pPr>
        <w:pStyle w:val="ListParagraph"/>
        <w:numPr>
          <w:ilvl w:val="0"/>
          <w:numId w:val="4"/>
        </w:numPr>
      </w:pPr>
      <w:r>
        <w:t>Methods and measures</w:t>
      </w:r>
    </w:p>
    <w:p w14:paraId="30A52BE5" w14:textId="4B91B13B" w:rsidR="006652C6" w:rsidRDefault="006652C6" w:rsidP="00502CEA">
      <w:pPr>
        <w:pStyle w:val="ListParagraph"/>
        <w:numPr>
          <w:ilvl w:val="1"/>
          <w:numId w:val="4"/>
        </w:numPr>
      </w:pPr>
      <w:r>
        <w:t xml:space="preserve">Indicator variable </w:t>
      </w:r>
      <w:proofErr w:type="spellStart"/>
      <w:r>
        <w:t>modle</w:t>
      </w:r>
      <w:proofErr w:type="spellEnd"/>
    </w:p>
    <w:p w14:paraId="0538A4D6" w14:textId="538BAE29" w:rsidR="00502CEA" w:rsidRDefault="00695FE8" w:rsidP="00502CEA">
      <w:pPr>
        <w:pStyle w:val="ListParagraph"/>
        <w:numPr>
          <w:ilvl w:val="1"/>
          <w:numId w:val="4"/>
        </w:numPr>
      </w:pPr>
      <w:r>
        <w:t xml:space="preserve">Panel </w:t>
      </w:r>
      <w:proofErr w:type="gramStart"/>
      <w:r>
        <w:t>data;</w:t>
      </w:r>
      <w:proofErr w:type="gramEnd"/>
      <w:r>
        <w:t xml:space="preserve"> leveraging s</w:t>
      </w:r>
      <w:r w:rsidR="00502CEA">
        <w:t>tudent, teacher, and school fixed effects</w:t>
      </w:r>
      <w:r w:rsidR="00325B39">
        <w:t xml:space="preserve"> (see paper for the advanced methods getting around computational challenge)</w:t>
      </w:r>
    </w:p>
    <w:p w14:paraId="195D66DA" w14:textId="48AF3BDF" w:rsidR="002F7FEA" w:rsidRDefault="002F7FEA" w:rsidP="00502CEA">
      <w:pPr>
        <w:pStyle w:val="ListParagraph"/>
        <w:numPr>
          <w:ilvl w:val="1"/>
          <w:numId w:val="4"/>
        </w:numPr>
      </w:pPr>
      <w:r>
        <w:t>Compare teachers with 1-2, 3-4, 5-9, 10-14, 15-24, and 25+ years’ experience separately to new teachers</w:t>
      </w:r>
    </w:p>
    <w:p w14:paraId="65F133DF" w14:textId="6137A209" w:rsidR="00502CEA" w:rsidRDefault="00502CEA" w:rsidP="00502CEA">
      <w:pPr>
        <w:pStyle w:val="ListParagraph"/>
        <w:numPr>
          <w:ilvl w:val="0"/>
          <w:numId w:val="4"/>
        </w:numPr>
      </w:pPr>
      <w:r>
        <w:t>Findings</w:t>
      </w:r>
      <w:r w:rsidR="00D0033C">
        <w:t xml:space="preserve"> (p.805)</w:t>
      </w:r>
    </w:p>
    <w:p w14:paraId="05D01553" w14:textId="3BF800CC" w:rsidR="002F7FEA" w:rsidRDefault="002F7FEA" w:rsidP="00502CEA">
      <w:pPr>
        <w:pStyle w:val="ListParagraph"/>
        <w:numPr>
          <w:ilvl w:val="1"/>
          <w:numId w:val="4"/>
        </w:numPr>
      </w:pPr>
      <w:r>
        <w:t>For elementary and middle school teachers, experience effects are quantitatively substantial, ranging from 0.03-0.06 SD for the first 1-2 years of experience as much as 0.16 SD for 15-24 years of experience</w:t>
      </w:r>
    </w:p>
    <w:p w14:paraId="2C369DA2" w14:textId="698FC06E" w:rsidR="00502CEA" w:rsidRDefault="002F7FEA" w:rsidP="00502CEA">
      <w:pPr>
        <w:pStyle w:val="ListParagraph"/>
        <w:numPr>
          <w:ilvl w:val="1"/>
          <w:numId w:val="4"/>
        </w:numPr>
      </w:pPr>
      <w:r>
        <w:t>High school teachers are the opposite, more experienced teachers are less productive than when they were new teachers (teacher fixed effects)</w:t>
      </w:r>
    </w:p>
    <w:p w14:paraId="421224FD" w14:textId="77777777" w:rsidR="00502CEA" w:rsidRDefault="00502CEA" w:rsidP="00CD366F"/>
    <w:p w14:paraId="5137C683" w14:textId="4CADC958" w:rsidR="008A6711" w:rsidRDefault="008A6711" w:rsidP="00CD366F">
      <w:r>
        <w:t xml:space="preserve">Hu et al., 2017: </w:t>
      </w:r>
    </w:p>
    <w:p w14:paraId="6CF56F69" w14:textId="0E100802" w:rsidR="008A6711" w:rsidRDefault="008A6711" w:rsidP="008A6711">
      <w:pPr>
        <w:pStyle w:val="ListParagraph"/>
        <w:numPr>
          <w:ilvl w:val="0"/>
          <w:numId w:val="1"/>
        </w:numPr>
      </w:pPr>
      <w:r>
        <w:lastRenderedPageBreak/>
        <w:t xml:space="preserve">using generalized additive modeling (GAM), a nonlinear </w:t>
      </w:r>
      <w:r w:rsidR="008D2F74">
        <w:t>method for “identifying likely thresholds by estimating the relations between an independent variable and a dependent variable without making any assumptions about whether the relation is linear or non-linear</w:t>
      </w:r>
    </w:p>
    <w:p w14:paraId="56B755BE" w14:textId="056F7267" w:rsidR="008D2F74" w:rsidRDefault="008D2F74" w:rsidP="008D2F74">
      <w:pPr>
        <w:pStyle w:val="ListParagraph"/>
        <w:numPr>
          <w:ilvl w:val="1"/>
          <w:numId w:val="1"/>
        </w:numPr>
      </w:pPr>
      <w:r>
        <w:t>likely thresholds are identified by graphically identifying the regions where there appears to by systematic change in the relation between the two variables and both baseline and ceiling thresholds are possible</w:t>
      </w:r>
    </w:p>
    <w:p w14:paraId="0AA2CEC1" w14:textId="2236D268" w:rsidR="008D2F74" w:rsidRDefault="008D2F74" w:rsidP="008D2F74">
      <w:pPr>
        <w:pStyle w:val="ListParagraph"/>
        <w:numPr>
          <w:ilvl w:val="1"/>
          <w:numId w:val="1"/>
        </w:numPr>
      </w:pPr>
      <w:proofErr w:type="gramStart"/>
      <w:r>
        <w:t>also</w:t>
      </w:r>
      <w:proofErr w:type="gramEnd"/>
      <w:r>
        <w:t xml:space="preserve"> a graphic representation of the non-linear regression trend between the two variables</w:t>
      </w:r>
    </w:p>
    <w:p w14:paraId="2C329F8C" w14:textId="5DFC8C84" w:rsidR="008D2F74" w:rsidRDefault="008D2F74" w:rsidP="008D2F74">
      <w:pPr>
        <w:pStyle w:val="ListParagraph"/>
        <w:numPr>
          <w:ilvl w:val="1"/>
          <w:numId w:val="1"/>
        </w:numPr>
      </w:pPr>
      <w:r>
        <w:t>it doesn’t provide exact cut-off points, rather, it provides visual guidance on the score ranges within which thresholds are likely to exist</w:t>
      </w:r>
    </w:p>
    <w:p w14:paraId="2FAB369A" w14:textId="3D971105" w:rsidR="00C8490E" w:rsidRDefault="008A6711" w:rsidP="008A6711">
      <w:pPr>
        <w:pStyle w:val="ListParagraph"/>
        <w:numPr>
          <w:ilvl w:val="0"/>
          <w:numId w:val="1"/>
        </w:numPr>
      </w:pPr>
      <w:r>
        <w:t>then using piecewise regression</w:t>
      </w:r>
      <w:r w:rsidR="008D2F74">
        <w:t xml:space="preserve"> (spline regression approach)</w:t>
      </w:r>
      <w:r>
        <w:t xml:space="preserve"> to validate the possible thresholds</w:t>
      </w:r>
    </w:p>
    <w:p w14:paraId="04807D88" w14:textId="77777777" w:rsidR="005953D3" w:rsidRDefault="008D2F74" w:rsidP="005953D3">
      <w:pPr>
        <w:pStyle w:val="ListParagraph"/>
        <w:numPr>
          <w:ilvl w:val="1"/>
          <w:numId w:val="1"/>
        </w:numPr>
      </w:pPr>
      <w:r>
        <w:t>meaning to test whether the regression slopes vary across the different regions thus provide evidence of the validity of the GAM-derived thresholds</w:t>
      </w:r>
    </w:p>
    <w:p w14:paraId="0CEF6F8B" w14:textId="7426533A" w:rsidR="005953D3" w:rsidRPr="005953D3" w:rsidRDefault="005953D3" w:rsidP="005953D3">
      <w:pPr>
        <w:pStyle w:val="ListParagraph"/>
        <w:numPr>
          <w:ilvl w:val="1"/>
          <w:numId w:val="1"/>
        </w:numPr>
      </w:pPr>
      <w:r w:rsidRPr="005953D3">
        <w:t>for each outcome variable, the results from the simple linear regression model (assuming one constant slope) and the piece- wise regression model (assuming varying slopes as de</w:t>
      </w:r>
      <w:r>
        <w:t>fi</w:t>
      </w:r>
      <w:r w:rsidRPr="005953D3">
        <w:t xml:space="preserve">ned by the thresholds) could be compared statistically. e.g., statistical test, adjusted R2s from two models, and the Akaike information criterion (AIC; Akaike, 1974) are available as evidence for the viability of the thresholds. </w:t>
      </w:r>
    </w:p>
    <w:p w14:paraId="258D9579" w14:textId="0B6C9049" w:rsidR="005953D3" w:rsidRPr="005953D3" w:rsidRDefault="005953D3" w:rsidP="008D2F74">
      <w:pPr>
        <w:pStyle w:val="ListParagraph"/>
        <w:numPr>
          <w:ilvl w:val="1"/>
          <w:numId w:val="1"/>
        </w:numPr>
      </w:pPr>
      <w:r>
        <w:t xml:space="preserve">Lastly, compare linear regression with piecewise regression </w:t>
      </w:r>
      <w:r w:rsidR="00FE691E">
        <w:t>based on F statistics (statistical significance), adjusted R2 (higher value indicating better fit), and AIC (lower value indicating better fit)</w:t>
      </w:r>
    </w:p>
    <w:p w14:paraId="210A5BF2" w14:textId="17D089D6" w:rsidR="00CD366F" w:rsidRPr="00CD366F" w:rsidRDefault="00CD366F" w:rsidP="00CD366F"/>
    <w:p w14:paraId="48C0D350" w14:textId="1FF5A1BD" w:rsidR="000E44D7" w:rsidRDefault="00FE691E" w:rsidP="000E44D7">
      <w:pPr>
        <w:rPr>
          <w:rFonts w:ascii="Times New Roman" w:hAnsi="Times New Roman" w:cs="Times New Roman"/>
        </w:rPr>
      </w:pPr>
      <w:r>
        <w:rPr>
          <w:rFonts w:ascii="Times New Roman" w:hAnsi="Times New Roman" w:cs="Times New Roman"/>
          <w:noProof/>
        </w:rPr>
        <w:drawing>
          <wp:inline distT="0" distB="0" distL="0" distR="0" wp14:anchorId="2D4AA17C" wp14:editId="60A90567">
            <wp:extent cx="5943600" cy="244157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p>
    <w:p w14:paraId="0D002341" w14:textId="59553234" w:rsidR="000E44D7" w:rsidRDefault="000E44D7" w:rsidP="000E44D7">
      <w:pPr>
        <w:rPr>
          <w:rFonts w:ascii="Times New Roman" w:hAnsi="Times New Roman" w:cs="Times New Roman"/>
        </w:rPr>
      </w:pPr>
    </w:p>
    <w:p w14:paraId="1FD54C2B" w14:textId="77777777" w:rsidR="004B7466" w:rsidRDefault="004B7466" w:rsidP="000E44D7">
      <w:pPr>
        <w:rPr>
          <w:rFonts w:ascii="Times New Roman" w:hAnsi="Times New Roman" w:cs="Times New Roman"/>
        </w:rPr>
      </w:pPr>
    </w:p>
    <w:p w14:paraId="790594FA" w14:textId="77777777" w:rsidR="004B7466" w:rsidRDefault="004B7466" w:rsidP="000E44D7">
      <w:pPr>
        <w:rPr>
          <w:rFonts w:ascii="Times New Roman" w:hAnsi="Times New Roman" w:cs="Times New Roman"/>
        </w:rPr>
      </w:pPr>
    </w:p>
    <w:p w14:paraId="08B8121B" w14:textId="77777777" w:rsidR="004B7466" w:rsidRDefault="004B7466" w:rsidP="000E44D7">
      <w:pPr>
        <w:rPr>
          <w:rFonts w:ascii="Times New Roman" w:hAnsi="Times New Roman" w:cs="Times New Roman"/>
        </w:rPr>
      </w:pPr>
    </w:p>
    <w:p w14:paraId="3473DA92" w14:textId="66313480" w:rsidR="000E44D7" w:rsidRDefault="000E44D7" w:rsidP="000E44D7">
      <w:pPr>
        <w:rPr>
          <w:rFonts w:ascii="Times New Roman" w:hAnsi="Times New Roman" w:cs="Times New Roman"/>
        </w:rPr>
      </w:pPr>
      <w:r>
        <w:rPr>
          <w:rFonts w:ascii="Times New Roman" w:hAnsi="Times New Roman" w:cs="Times New Roman"/>
        </w:rPr>
        <w:t>Causal evidence</w:t>
      </w:r>
    </w:p>
    <w:p w14:paraId="4947453F" w14:textId="4E1C148C" w:rsidR="000E44D7" w:rsidRDefault="000E44D7" w:rsidP="000E44D7">
      <w:pPr>
        <w:rPr>
          <w:rFonts w:ascii="Times New Roman" w:hAnsi="Times New Roman" w:cs="Times New Roman"/>
        </w:rPr>
      </w:pPr>
    </w:p>
    <w:p w14:paraId="7394AD9F" w14:textId="29D5A074" w:rsidR="000E44D7" w:rsidRDefault="000E44D7" w:rsidP="000E44D7">
      <w:pPr>
        <w:rPr>
          <w:rFonts w:ascii="Times New Roman" w:hAnsi="Times New Roman" w:cs="Times New Roman"/>
        </w:rPr>
      </w:pPr>
    </w:p>
    <w:p w14:paraId="03794701" w14:textId="5EA5A211" w:rsidR="000E44D7" w:rsidRDefault="000E44D7" w:rsidP="000E44D7">
      <w:pPr>
        <w:rPr>
          <w:rFonts w:ascii="Times New Roman" w:hAnsi="Times New Roman" w:cs="Times New Roman"/>
        </w:rPr>
      </w:pPr>
    </w:p>
    <w:p w14:paraId="13474291" w14:textId="400DA997" w:rsidR="0045653B" w:rsidRDefault="0045653B">
      <w:pPr>
        <w:rPr>
          <w:rFonts w:ascii="Times New Roman" w:hAnsi="Times New Roman" w:cs="Times New Roman"/>
        </w:rPr>
      </w:pPr>
      <w:r>
        <w:rPr>
          <w:rFonts w:ascii="Times New Roman" w:hAnsi="Times New Roman" w:cs="Times New Roman"/>
        </w:rPr>
        <w:br w:type="page"/>
      </w:r>
    </w:p>
    <w:p w14:paraId="301AFB22" w14:textId="77777777" w:rsidR="000E44D7" w:rsidRDefault="000E44D7" w:rsidP="0045653B">
      <w:pPr>
        <w:rPr>
          <w:rFonts w:ascii="Times New Roman" w:hAnsi="Times New Roman" w:cs="Times New Roman"/>
        </w:rPr>
      </w:pPr>
    </w:p>
    <w:p w14:paraId="26A8BA52" w14:textId="4B484F67" w:rsidR="003220CF" w:rsidRDefault="00FF285B" w:rsidP="00FF285B">
      <w:pPr>
        <w:jc w:val="center"/>
        <w:rPr>
          <w:rFonts w:ascii="Times New Roman" w:hAnsi="Times New Roman" w:cs="Times New Roman"/>
        </w:rPr>
      </w:pPr>
      <w:r>
        <w:rPr>
          <w:rFonts w:ascii="Times New Roman" w:hAnsi="Times New Roman" w:cs="Times New Roman"/>
        </w:rPr>
        <w:t>References</w:t>
      </w:r>
    </w:p>
    <w:p w14:paraId="7827BA47" w14:textId="77777777" w:rsidR="00FF285B" w:rsidRPr="003220CF" w:rsidRDefault="00FF285B" w:rsidP="006D7C62">
      <w:pPr>
        <w:rPr>
          <w:rFonts w:ascii="Times New Roman" w:hAnsi="Times New Roman" w:cs="Times New Roman"/>
        </w:rPr>
      </w:pPr>
    </w:p>
    <w:p w14:paraId="4E9E8318" w14:textId="77777777" w:rsidR="00657426" w:rsidRDefault="003220CF" w:rsidP="00657426">
      <w:pPr>
        <w:ind w:left="720" w:hanging="720"/>
        <w:rPr>
          <w:rFonts w:ascii="Times New Roman" w:hAnsi="Times New Roman" w:cs="Times New Roman"/>
        </w:rPr>
      </w:pPr>
      <w:r w:rsidRPr="003220CF">
        <w:rPr>
          <w:rFonts w:ascii="Times New Roman" w:hAnsi="Times New Roman" w:cs="Times New Roman"/>
        </w:rPr>
        <w:t xml:space="preserve">Aaronson, Barrow, L., &amp; Sander, W. (2007). Teachers and Student Achievement in the Chicago Public High Schools. Journal of Labor Economics, 25(1), 95–135. </w:t>
      </w:r>
      <w:hyperlink r:id="rId6" w:history="1">
        <w:r w:rsidR="004229B7" w:rsidRPr="00D35CE9">
          <w:rPr>
            <w:rStyle w:val="Hyperlink"/>
            <w:rFonts w:ascii="Times New Roman" w:hAnsi="Times New Roman" w:cs="Times New Roman"/>
          </w:rPr>
          <w:t>https://doi.org/10.1086/508733</w:t>
        </w:r>
      </w:hyperlink>
    </w:p>
    <w:p w14:paraId="14C3ED11" w14:textId="77777777" w:rsidR="004229B7" w:rsidRDefault="004229B7" w:rsidP="004229B7">
      <w:pPr>
        <w:ind w:left="720" w:hanging="720"/>
        <w:rPr>
          <w:rFonts w:ascii="Times New Roman" w:hAnsi="Times New Roman" w:cs="Times New Roman"/>
        </w:rPr>
      </w:pPr>
      <w:proofErr w:type="spellStart"/>
      <w:r w:rsidRPr="004229B7">
        <w:rPr>
          <w:rFonts w:ascii="Times New Roman" w:hAnsi="Times New Roman" w:cs="Times New Roman"/>
        </w:rPr>
        <w:t>Athey</w:t>
      </w:r>
      <w:proofErr w:type="spellEnd"/>
      <w:r w:rsidRPr="004229B7">
        <w:rPr>
          <w:rFonts w:ascii="Times New Roman" w:hAnsi="Times New Roman" w:cs="Times New Roman"/>
        </w:rPr>
        <w:t xml:space="preserve">, &amp; </w:t>
      </w:r>
      <w:proofErr w:type="spellStart"/>
      <w:r w:rsidRPr="004229B7">
        <w:rPr>
          <w:rFonts w:ascii="Times New Roman" w:hAnsi="Times New Roman" w:cs="Times New Roman"/>
        </w:rPr>
        <w:t>Imbens</w:t>
      </w:r>
      <w:proofErr w:type="spellEnd"/>
      <w:r w:rsidRPr="004229B7">
        <w:rPr>
          <w:rFonts w:ascii="Times New Roman" w:hAnsi="Times New Roman" w:cs="Times New Roman"/>
        </w:rPr>
        <w:t xml:space="preserve">, G. W. (2019). Machine Learning Methods That Economists Should Know About. Annual Review of Economics, 11(1), 685–725. </w:t>
      </w:r>
      <w:hyperlink r:id="rId7" w:history="1">
        <w:r w:rsidRPr="00D35CE9">
          <w:rPr>
            <w:rStyle w:val="Hyperlink"/>
            <w:rFonts w:ascii="Times New Roman" w:hAnsi="Times New Roman" w:cs="Times New Roman"/>
          </w:rPr>
          <w:t>https://doi.org/10.1146/annurev-economics-080217-053433</w:t>
        </w:r>
      </w:hyperlink>
    </w:p>
    <w:p w14:paraId="264DE3DC" w14:textId="62597747" w:rsidR="004229B7" w:rsidRDefault="004229B7" w:rsidP="00BB61BB">
      <w:pPr>
        <w:ind w:left="720" w:hanging="720"/>
        <w:rPr>
          <w:rFonts w:ascii="Times New Roman" w:hAnsi="Times New Roman" w:cs="Times New Roman"/>
        </w:rPr>
      </w:pPr>
      <w:proofErr w:type="spellStart"/>
      <w:r w:rsidRPr="004229B7">
        <w:rPr>
          <w:rFonts w:ascii="Times New Roman" w:hAnsi="Times New Roman" w:cs="Times New Roman"/>
        </w:rPr>
        <w:t>Athey</w:t>
      </w:r>
      <w:proofErr w:type="spellEnd"/>
      <w:r w:rsidRPr="004229B7">
        <w:rPr>
          <w:rFonts w:ascii="Times New Roman" w:hAnsi="Times New Roman" w:cs="Times New Roman"/>
        </w:rPr>
        <w:t xml:space="preserve">, </w:t>
      </w:r>
      <w:proofErr w:type="spellStart"/>
      <w:r w:rsidRPr="004229B7">
        <w:rPr>
          <w:rFonts w:ascii="Times New Roman" w:hAnsi="Times New Roman" w:cs="Times New Roman"/>
        </w:rPr>
        <w:t>Tibshirani</w:t>
      </w:r>
      <w:proofErr w:type="spellEnd"/>
      <w:r w:rsidRPr="004229B7">
        <w:rPr>
          <w:rFonts w:ascii="Times New Roman" w:hAnsi="Times New Roman" w:cs="Times New Roman"/>
        </w:rPr>
        <w:t xml:space="preserve">, J., &amp; Wager, S. (2019). GENERALIZED RANDOM FORESTS. The Annals of Statistics, 47(2), 1148–1178. </w:t>
      </w:r>
      <w:hyperlink r:id="rId8" w:history="1">
        <w:r w:rsidRPr="00D35CE9">
          <w:rPr>
            <w:rStyle w:val="Hyperlink"/>
            <w:rFonts w:ascii="Times New Roman" w:hAnsi="Times New Roman" w:cs="Times New Roman"/>
          </w:rPr>
          <w:t>https://doi.org/10.1214/18-AOS1709</w:t>
        </w:r>
      </w:hyperlink>
    </w:p>
    <w:p w14:paraId="2B4D3F0D" w14:textId="77777777" w:rsidR="00921A32" w:rsidRPr="00921A32" w:rsidRDefault="00FE79CB" w:rsidP="00921A32">
      <w:pPr>
        <w:ind w:left="720" w:hanging="720"/>
        <w:rPr>
          <w:rFonts w:ascii="Times New Roman" w:hAnsi="Times New Roman" w:cs="Times New Roman"/>
        </w:rPr>
      </w:pPr>
      <w:r w:rsidRPr="00FE79CB">
        <w:rPr>
          <w:rFonts w:ascii="Times New Roman" w:hAnsi="Times New Roman" w:cs="Times New Roman"/>
        </w:rPr>
        <w:t>Boyd, Donald, Hamilton Lankford, Susanna Loeb, Jonah Rockoff, and James Wyckoff. 2008. “The Narrowing Gap in New York City Teacher Qualifications and Its Implications for Student Achievement in High-Poverty Schools.” National Bureau of Economic Research.</w:t>
      </w:r>
    </w:p>
    <w:p w14:paraId="05EADE0C" w14:textId="75D4B2AD" w:rsidR="00FE79CB" w:rsidRDefault="00921A32" w:rsidP="00921A32">
      <w:pPr>
        <w:ind w:left="720" w:hanging="720"/>
        <w:rPr>
          <w:rFonts w:ascii="Times New Roman" w:hAnsi="Times New Roman" w:cs="Times New Roman"/>
        </w:rPr>
      </w:pPr>
      <w:r w:rsidRPr="00921A32">
        <w:rPr>
          <w:rFonts w:ascii="Times New Roman" w:hAnsi="Times New Roman" w:cs="Times New Roman"/>
        </w:rPr>
        <w:t>Cho. (2012). The effect of teacher–student gender matching: Evidence from OECD countries. Economics of Education Review, 31(3), 54–67. https://doi.org/10.1016/j.econedurev.2012.02.002</w:t>
      </w:r>
    </w:p>
    <w:p w14:paraId="4D0CA6FA" w14:textId="24C8F283" w:rsidR="003A6543" w:rsidRPr="003A6543" w:rsidRDefault="003A6543" w:rsidP="00BB61BB">
      <w:pPr>
        <w:ind w:left="720" w:hanging="720"/>
        <w:rPr>
          <w:rFonts w:ascii="Times New Roman" w:hAnsi="Times New Roman" w:cs="Times New Roman"/>
        </w:rPr>
      </w:pPr>
      <w:r w:rsidRPr="003A6543">
        <w:rPr>
          <w:rFonts w:ascii="Times New Roman" w:hAnsi="Times New Roman" w:cs="Times New Roman"/>
        </w:rPr>
        <w:t xml:space="preserve">Clotfelter, Ladd, H. F., &amp; </w:t>
      </w:r>
      <w:proofErr w:type="spellStart"/>
      <w:r w:rsidRPr="003A6543">
        <w:rPr>
          <w:rFonts w:ascii="Times New Roman" w:hAnsi="Times New Roman" w:cs="Times New Roman"/>
        </w:rPr>
        <w:t>Vigdor</w:t>
      </w:r>
      <w:proofErr w:type="spellEnd"/>
      <w:r w:rsidRPr="003A6543">
        <w:rPr>
          <w:rFonts w:ascii="Times New Roman" w:hAnsi="Times New Roman" w:cs="Times New Roman"/>
        </w:rPr>
        <w:t xml:space="preserve">, J. L. (2007). Teacher credentials and student achievement: Longitudinal analysis with student fixed effects. Economics of Education Review, 26(6), 673–682. </w:t>
      </w:r>
      <w:hyperlink r:id="rId9" w:history="1">
        <w:r w:rsidR="006D7C62" w:rsidRPr="00D35CE9">
          <w:rPr>
            <w:rStyle w:val="Hyperlink"/>
            <w:rFonts w:ascii="Times New Roman" w:hAnsi="Times New Roman" w:cs="Times New Roman"/>
          </w:rPr>
          <w:t>https://doi.org/10.1016/j.econedurev.2007.10.002</w:t>
        </w:r>
      </w:hyperlink>
      <w:r w:rsidR="006D7C62">
        <w:rPr>
          <w:rFonts w:ascii="Times New Roman" w:hAnsi="Times New Roman" w:cs="Times New Roman"/>
        </w:rPr>
        <w:t xml:space="preserve"> </w:t>
      </w:r>
    </w:p>
    <w:p w14:paraId="5EF00626" w14:textId="77777777" w:rsidR="004B6701" w:rsidRDefault="001E03EA" w:rsidP="004B6701">
      <w:pPr>
        <w:ind w:left="720" w:hanging="720"/>
        <w:rPr>
          <w:rFonts w:ascii="Times New Roman" w:hAnsi="Times New Roman" w:cs="Times New Roman"/>
        </w:rPr>
      </w:pPr>
      <w:bookmarkStart w:id="2" w:name="ref-harris2011teacher"/>
      <w:bookmarkEnd w:id="0"/>
      <w:r w:rsidRPr="001E03EA">
        <w:rPr>
          <w:rFonts w:ascii="Times New Roman" w:hAnsi="Times New Roman" w:cs="Times New Roman"/>
        </w:rPr>
        <w:t>Dee, T. S. (2007). Teachers and the Gender Gaps in Student Achievement. </w:t>
      </w:r>
      <w:r w:rsidRPr="001E03EA">
        <w:rPr>
          <w:rFonts w:ascii="Times New Roman" w:hAnsi="Times New Roman" w:cs="Times New Roman"/>
          <w:i/>
          <w:iCs/>
        </w:rPr>
        <w:t>The Journal of Human Resources</w:t>
      </w:r>
      <w:r w:rsidRPr="001E03EA">
        <w:rPr>
          <w:rFonts w:ascii="Times New Roman" w:hAnsi="Times New Roman" w:cs="Times New Roman"/>
        </w:rPr>
        <w:t>, </w:t>
      </w:r>
      <w:r w:rsidRPr="001E03EA">
        <w:rPr>
          <w:rFonts w:ascii="Times New Roman" w:hAnsi="Times New Roman" w:cs="Times New Roman"/>
          <w:i/>
          <w:iCs/>
        </w:rPr>
        <w:t>42</w:t>
      </w:r>
      <w:r w:rsidRPr="001E03EA">
        <w:rPr>
          <w:rFonts w:ascii="Times New Roman" w:hAnsi="Times New Roman" w:cs="Times New Roman"/>
        </w:rPr>
        <w:t xml:space="preserve">(3), 528–554. </w:t>
      </w:r>
      <w:hyperlink r:id="rId10" w:history="1">
        <w:r w:rsidR="006D7C62" w:rsidRPr="00D35CE9">
          <w:rPr>
            <w:rStyle w:val="Hyperlink"/>
            <w:rFonts w:ascii="Times New Roman" w:hAnsi="Times New Roman" w:cs="Times New Roman"/>
          </w:rPr>
          <w:t>http://www.jstor.org/stable/40057317</w:t>
        </w:r>
      </w:hyperlink>
      <w:r w:rsidR="006D7C62">
        <w:rPr>
          <w:rFonts w:ascii="Times New Roman" w:hAnsi="Times New Roman" w:cs="Times New Roman"/>
        </w:rPr>
        <w:t xml:space="preserve"> </w:t>
      </w:r>
      <w:r w:rsidRPr="001E03EA">
        <w:rPr>
          <w:rFonts w:ascii="Times New Roman" w:hAnsi="Times New Roman" w:cs="Times New Roman"/>
        </w:rPr>
        <w:t xml:space="preserve"> </w:t>
      </w:r>
    </w:p>
    <w:p w14:paraId="3AE63D14" w14:textId="77777777" w:rsidR="00F74D93" w:rsidRPr="00F74D93" w:rsidRDefault="004B6701" w:rsidP="00F74D93">
      <w:pPr>
        <w:ind w:left="720" w:hanging="720"/>
        <w:rPr>
          <w:rFonts w:ascii="Times New Roman" w:hAnsi="Times New Roman" w:cs="Times New Roman"/>
        </w:rPr>
      </w:pPr>
      <w:r w:rsidRPr="004B6701">
        <w:rPr>
          <w:rFonts w:ascii="Times New Roman" w:hAnsi="Times New Roman" w:cs="Times New Roman"/>
        </w:rPr>
        <w:t xml:space="preserve">Gong, Lu, Y., &amp; Song, H. (2018). The effect of teacher gender on students’ academic and noncognitive outcomes. Journal of Labor Economics, 36(3), 743–778. </w:t>
      </w:r>
      <w:hyperlink r:id="rId11" w:history="1">
        <w:r w:rsidRPr="00FD6AE6">
          <w:rPr>
            <w:rStyle w:val="Hyperlink"/>
            <w:rFonts w:ascii="Times New Roman" w:hAnsi="Times New Roman" w:cs="Times New Roman"/>
          </w:rPr>
          <w:t>https://doi.org/10.1086/696203</w:t>
        </w:r>
      </w:hyperlink>
      <w:r>
        <w:rPr>
          <w:rFonts w:ascii="Times New Roman" w:hAnsi="Times New Roman" w:cs="Times New Roman"/>
        </w:rPr>
        <w:t xml:space="preserve"> </w:t>
      </w:r>
    </w:p>
    <w:p w14:paraId="5428EF54" w14:textId="1344498C" w:rsidR="004B6701" w:rsidRPr="004B6701" w:rsidRDefault="00F74D93" w:rsidP="00F74D93">
      <w:pPr>
        <w:ind w:left="720" w:hanging="720"/>
        <w:rPr>
          <w:rFonts w:ascii="Times New Roman" w:hAnsi="Times New Roman" w:cs="Times New Roman"/>
        </w:rPr>
      </w:pPr>
      <w:r w:rsidRPr="00F74D93">
        <w:rPr>
          <w:rFonts w:ascii="Times New Roman" w:hAnsi="Times New Roman" w:cs="Times New Roman"/>
        </w:rPr>
        <w:t xml:space="preserve">Guarino, </w:t>
      </w:r>
      <w:proofErr w:type="spellStart"/>
      <w:r w:rsidRPr="00F74D93">
        <w:rPr>
          <w:rFonts w:ascii="Times New Roman" w:hAnsi="Times New Roman" w:cs="Times New Roman"/>
        </w:rPr>
        <w:t>Dieterle</w:t>
      </w:r>
      <w:proofErr w:type="spellEnd"/>
      <w:r w:rsidRPr="00F74D93">
        <w:rPr>
          <w:rFonts w:ascii="Times New Roman" w:hAnsi="Times New Roman" w:cs="Times New Roman"/>
        </w:rPr>
        <w:t xml:space="preserve">, S. G., </w:t>
      </w:r>
      <w:proofErr w:type="spellStart"/>
      <w:r w:rsidRPr="00F74D93">
        <w:rPr>
          <w:rFonts w:ascii="Times New Roman" w:hAnsi="Times New Roman" w:cs="Times New Roman"/>
        </w:rPr>
        <w:t>Bargagliotti</w:t>
      </w:r>
      <w:proofErr w:type="spellEnd"/>
      <w:r w:rsidRPr="00F74D93">
        <w:rPr>
          <w:rFonts w:ascii="Times New Roman" w:hAnsi="Times New Roman" w:cs="Times New Roman"/>
        </w:rPr>
        <w:t xml:space="preserve">, A. E., &amp; Mason, W. M. (2013). What Can We Learn About Effective Early Mathematics Teaching? A Framework for Estimating Causal Effects Using Longitudinal Survey Data. Journal of Research on Educational Effectiveness, 6(2), 164–198. </w:t>
      </w:r>
      <w:hyperlink r:id="rId12" w:history="1">
        <w:r w:rsidR="00E60CAF" w:rsidRPr="00261AC2">
          <w:rPr>
            <w:rStyle w:val="Hyperlink"/>
            <w:rFonts w:ascii="Times New Roman" w:hAnsi="Times New Roman" w:cs="Times New Roman"/>
          </w:rPr>
          <w:t>https://doi.org/10.1080/19345747.2012.706695</w:t>
        </w:r>
      </w:hyperlink>
      <w:r w:rsidR="00E60CAF">
        <w:rPr>
          <w:rFonts w:ascii="Times New Roman" w:hAnsi="Times New Roman" w:cs="Times New Roman"/>
        </w:rPr>
        <w:t xml:space="preserve"> </w:t>
      </w:r>
    </w:p>
    <w:p w14:paraId="29A3186E" w14:textId="3356F82C" w:rsidR="007F315F" w:rsidRDefault="00012269" w:rsidP="007F315F">
      <w:pPr>
        <w:ind w:left="720" w:hanging="720"/>
        <w:rPr>
          <w:rFonts w:ascii="Times New Roman" w:hAnsi="Times New Roman" w:cs="Times New Roman"/>
        </w:rPr>
      </w:pPr>
      <w:r w:rsidRPr="00012269">
        <w:rPr>
          <w:rFonts w:ascii="Times New Roman" w:hAnsi="Times New Roman" w:cs="Times New Roman"/>
        </w:rPr>
        <w:t xml:space="preserve">Harris, &amp; Sass, T. R. (2011). Teacher training, teacher quality and student achievement. Journal of Public Economics, 95(7), 798–812. </w:t>
      </w:r>
      <w:hyperlink r:id="rId13" w:history="1">
        <w:r w:rsidR="00813F8B" w:rsidRPr="00D35CE9">
          <w:rPr>
            <w:rStyle w:val="Hyperlink"/>
            <w:rFonts w:ascii="Times New Roman" w:hAnsi="Times New Roman" w:cs="Times New Roman"/>
          </w:rPr>
          <w:t>https://doi.org/10.1016/j.jpubeco.2010.11.009</w:t>
        </w:r>
      </w:hyperlink>
    </w:p>
    <w:p w14:paraId="1CC6DAEE" w14:textId="77777777" w:rsidR="008A6711" w:rsidRPr="008A6711" w:rsidRDefault="007F315F" w:rsidP="008A6711">
      <w:pPr>
        <w:ind w:left="720" w:hanging="720"/>
        <w:rPr>
          <w:rFonts w:ascii="Times New Roman" w:hAnsi="Times New Roman" w:cs="Times New Roman"/>
        </w:rPr>
      </w:pPr>
      <w:r w:rsidRPr="007F315F">
        <w:rPr>
          <w:rFonts w:ascii="Times New Roman" w:hAnsi="Times New Roman" w:cs="Times New Roman"/>
        </w:rPr>
        <w:t xml:space="preserve">Hill, Charalambous, C. Y., &amp; Chin, M. J. (2019). Teacher Characteristics and Student Learning in Mathematics: A Comprehensive Assessment. Educational Policy (Los Altos, Calif.), 33(7), 1103–1134. </w:t>
      </w:r>
      <w:hyperlink r:id="rId14" w:history="1">
        <w:r w:rsidR="006D7C62" w:rsidRPr="00D35CE9">
          <w:rPr>
            <w:rStyle w:val="Hyperlink"/>
            <w:rFonts w:ascii="Times New Roman" w:hAnsi="Times New Roman" w:cs="Times New Roman"/>
          </w:rPr>
          <w:t>https://doi.org/10.1177/0895904818755468</w:t>
        </w:r>
      </w:hyperlink>
      <w:r w:rsidR="006D7C62">
        <w:rPr>
          <w:rFonts w:ascii="Times New Roman" w:hAnsi="Times New Roman" w:cs="Times New Roman"/>
        </w:rPr>
        <w:t xml:space="preserve"> </w:t>
      </w:r>
    </w:p>
    <w:p w14:paraId="55F76BA7" w14:textId="3DB6F3CF" w:rsidR="000E44D7" w:rsidRDefault="008A6711" w:rsidP="008A6711">
      <w:pPr>
        <w:ind w:left="720" w:hanging="720"/>
        <w:rPr>
          <w:rFonts w:ascii="Times New Roman" w:hAnsi="Times New Roman" w:cs="Times New Roman"/>
        </w:rPr>
      </w:pPr>
      <w:r w:rsidRPr="008A6711">
        <w:rPr>
          <w:rFonts w:ascii="Times New Roman" w:hAnsi="Times New Roman" w:cs="Times New Roman"/>
        </w:rPr>
        <w:t xml:space="preserve">Hu, Fan, X., Wu, Y., &amp; Yang, N. (2017). Are structural quality indicators associated with preschool process quality in China? An exploration of threshold effects. Early Childhood Research Quarterly, 40, 163–173. </w:t>
      </w:r>
      <w:hyperlink r:id="rId15" w:history="1">
        <w:r w:rsidRPr="00261AC2">
          <w:rPr>
            <w:rStyle w:val="Hyperlink"/>
            <w:rFonts w:ascii="Times New Roman" w:hAnsi="Times New Roman" w:cs="Times New Roman"/>
          </w:rPr>
          <w:t>https://doi.org/10.1016/j.ecresq.2017.03.006</w:t>
        </w:r>
      </w:hyperlink>
      <w:r>
        <w:rPr>
          <w:rFonts w:ascii="Times New Roman" w:hAnsi="Times New Roman" w:cs="Times New Roman"/>
        </w:rPr>
        <w:t xml:space="preserve"> </w:t>
      </w:r>
    </w:p>
    <w:p w14:paraId="4D961814" w14:textId="22B4E9D8" w:rsidR="007F315F" w:rsidRPr="007F315F" w:rsidRDefault="000E44D7" w:rsidP="000E44D7">
      <w:pPr>
        <w:ind w:left="720" w:hanging="720"/>
        <w:rPr>
          <w:rFonts w:ascii="Times New Roman" w:hAnsi="Times New Roman" w:cs="Times New Roman"/>
        </w:rPr>
      </w:pPr>
      <w:r w:rsidRPr="000E44D7">
        <w:rPr>
          <w:rFonts w:ascii="Times New Roman" w:hAnsi="Times New Roman" w:cs="Times New Roman"/>
        </w:rPr>
        <w:t xml:space="preserve">Hunter, &amp; Springer, M. G. (2022). Critical Feedback Characteristics, Teacher Human Capital, and Early-Career Teacher Performance: A Mixed-Methods Analysis. Educational Evaluation and Policy Analysis, 44(3), 380–403. </w:t>
      </w:r>
      <w:hyperlink r:id="rId16" w:history="1">
        <w:r w:rsidRPr="005F7F8A">
          <w:rPr>
            <w:rStyle w:val="Hyperlink"/>
            <w:rFonts w:ascii="Times New Roman" w:hAnsi="Times New Roman" w:cs="Times New Roman"/>
          </w:rPr>
          <w:t>https://doi.org/10.3102/01623737211062913</w:t>
        </w:r>
      </w:hyperlink>
      <w:r>
        <w:rPr>
          <w:rFonts w:ascii="Times New Roman" w:hAnsi="Times New Roman" w:cs="Times New Roman"/>
        </w:rPr>
        <w:t xml:space="preserve"> </w:t>
      </w:r>
    </w:p>
    <w:p w14:paraId="14461C29" w14:textId="0974FC72" w:rsidR="00813F8B" w:rsidRDefault="00813F8B" w:rsidP="00BB61BB">
      <w:pPr>
        <w:ind w:left="720" w:hanging="720"/>
        <w:rPr>
          <w:rFonts w:ascii="Times New Roman" w:hAnsi="Times New Roman" w:cs="Times New Roman"/>
        </w:rPr>
      </w:pPr>
      <w:r w:rsidRPr="00813F8B">
        <w:rPr>
          <w:rFonts w:ascii="Times New Roman" w:hAnsi="Times New Roman" w:cs="Times New Roman"/>
        </w:rPr>
        <w:t xml:space="preserve">Jacob, &amp; </w:t>
      </w:r>
      <w:proofErr w:type="spellStart"/>
      <w:r w:rsidRPr="00813F8B">
        <w:rPr>
          <w:rFonts w:ascii="Times New Roman" w:hAnsi="Times New Roman" w:cs="Times New Roman"/>
        </w:rPr>
        <w:t>Lefgren</w:t>
      </w:r>
      <w:proofErr w:type="spellEnd"/>
      <w:r w:rsidRPr="00813F8B">
        <w:rPr>
          <w:rFonts w:ascii="Times New Roman" w:hAnsi="Times New Roman" w:cs="Times New Roman"/>
        </w:rPr>
        <w:t xml:space="preserve">, L. (2004). The impact of teacher training on student achievement: Quasi-experimental evidence from school reform efforts in Chicago. The Journal of Human Resources, 39(1), 50–79. </w:t>
      </w:r>
      <w:hyperlink r:id="rId17" w:history="1">
        <w:r w:rsidR="003500CE" w:rsidRPr="00D35CE9">
          <w:rPr>
            <w:rStyle w:val="Hyperlink"/>
            <w:rFonts w:ascii="Times New Roman" w:hAnsi="Times New Roman" w:cs="Times New Roman"/>
          </w:rPr>
          <w:t>https://doi.org/10.2307/3559005</w:t>
        </w:r>
      </w:hyperlink>
    </w:p>
    <w:p w14:paraId="32B59C8C" w14:textId="36401F63" w:rsidR="003500CE" w:rsidRPr="00813F8B" w:rsidRDefault="003500CE" w:rsidP="00BB61BB">
      <w:pPr>
        <w:ind w:left="720" w:hanging="720"/>
        <w:rPr>
          <w:rFonts w:ascii="Times New Roman" w:hAnsi="Times New Roman" w:cs="Times New Roman"/>
        </w:rPr>
      </w:pPr>
      <w:r w:rsidRPr="003500CE">
        <w:rPr>
          <w:rFonts w:ascii="Times New Roman" w:hAnsi="Times New Roman" w:cs="Times New Roman"/>
        </w:rPr>
        <w:lastRenderedPageBreak/>
        <w:t xml:space="preserve">Kraft, </w:t>
      </w:r>
      <w:proofErr w:type="spellStart"/>
      <w:r w:rsidRPr="003500CE">
        <w:rPr>
          <w:rFonts w:ascii="Times New Roman" w:hAnsi="Times New Roman" w:cs="Times New Roman"/>
        </w:rPr>
        <w:t>Marinell</w:t>
      </w:r>
      <w:proofErr w:type="spellEnd"/>
      <w:r w:rsidRPr="003500CE">
        <w:rPr>
          <w:rFonts w:ascii="Times New Roman" w:hAnsi="Times New Roman" w:cs="Times New Roman"/>
        </w:rPr>
        <w:t xml:space="preserve">, W. H., &amp; Shen-Wei Yee, D. (2016). School Organizational Contexts, Teacher Turnover, and Student Achievement: Evidence </w:t>
      </w:r>
      <w:proofErr w:type="gramStart"/>
      <w:r w:rsidRPr="003500CE">
        <w:rPr>
          <w:rFonts w:ascii="Times New Roman" w:hAnsi="Times New Roman" w:cs="Times New Roman"/>
        </w:rPr>
        <w:t>From</w:t>
      </w:r>
      <w:proofErr w:type="gramEnd"/>
      <w:r w:rsidRPr="003500CE">
        <w:rPr>
          <w:rFonts w:ascii="Times New Roman" w:hAnsi="Times New Roman" w:cs="Times New Roman"/>
        </w:rPr>
        <w:t xml:space="preserve"> Panel Data. American Educational Research Journal, 53(5), 1411–1449. </w:t>
      </w:r>
      <w:hyperlink r:id="rId18" w:history="1">
        <w:r w:rsidR="006D7C62" w:rsidRPr="00D35CE9">
          <w:rPr>
            <w:rStyle w:val="Hyperlink"/>
            <w:rFonts w:ascii="Times New Roman" w:hAnsi="Times New Roman" w:cs="Times New Roman"/>
          </w:rPr>
          <w:t>https://doi.org/10.3102/0002831216667478</w:t>
        </w:r>
      </w:hyperlink>
      <w:r w:rsidR="006D7C62">
        <w:rPr>
          <w:rFonts w:ascii="Times New Roman" w:hAnsi="Times New Roman" w:cs="Times New Roman"/>
        </w:rPr>
        <w:t xml:space="preserve"> </w:t>
      </w:r>
    </w:p>
    <w:p w14:paraId="10358047" w14:textId="5E89590A" w:rsidR="00BC3DEF" w:rsidRPr="00BC3DEF" w:rsidRDefault="00BC3DEF" w:rsidP="00BB61BB">
      <w:pPr>
        <w:ind w:left="720" w:hanging="720"/>
        <w:rPr>
          <w:rFonts w:ascii="Times New Roman" w:hAnsi="Times New Roman" w:cs="Times New Roman"/>
        </w:rPr>
      </w:pPr>
      <w:bookmarkStart w:id="3" w:name="ref-kane2008does"/>
      <w:bookmarkEnd w:id="2"/>
      <w:r w:rsidRPr="00BC3DEF">
        <w:rPr>
          <w:rFonts w:ascii="Times New Roman" w:hAnsi="Times New Roman" w:cs="Times New Roman"/>
        </w:rPr>
        <w:t xml:space="preserve">Kane, Rockoff, J. E., &amp; </w:t>
      </w:r>
      <w:proofErr w:type="spellStart"/>
      <w:r w:rsidRPr="00BC3DEF">
        <w:rPr>
          <w:rFonts w:ascii="Times New Roman" w:hAnsi="Times New Roman" w:cs="Times New Roman"/>
        </w:rPr>
        <w:t>Staiger</w:t>
      </w:r>
      <w:proofErr w:type="spellEnd"/>
      <w:r w:rsidRPr="00BC3DEF">
        <w:rPr>
          <w:rFonts w:ascii="Times New Roman" w:hAnsi="Times New Roman" w:cs="Times New Roman"/>
        </w:rPr>
        <w:t xml:space="preserve">, D. O. (2008). What does certification tell us about teacher </w:t>
      </w:r>
      <w:proofErr w:type="gramStart"/>
      <w:r w:rsidRPr="00BC3DEF">
        <w:rPr>
          <w:rFonts w:ascii="Times New Roman" w:hAnsi="Times New Roman" w:cs="Times New Roman"/>
        </w:rPr>
        <w:t>effectiveness?:</w:t>
      </w:r>
      <w:proofErr w:type="gramEnd"/>
      <w:r w:rsidRPr="00BC3DEF">
        <w:rPr>
          <w:rFonts w:ascii="Times New Roman" w:hAnsi="Times New Roman" w:cs="Times New Roman"/>
        </w:rPr>
        <w:t xml:space="preserve"> Evidence from New York City. Economics of Education Review, 27(6), 615–631. </w:t>
      </w:r>
      <w:hyperlink r:id="rId19" w:history="1">
        <w:r w:rsidR="006D7C62" w:rsidRPr="00D35CE9">
          <w:rPr>
            <w:rStyle w:val="Hyperlink"/>
            <w:rFonts w:ascii="Times New Roman" w:hAnsi="Times New Roman" w:cs="Times New Roman"/>
          </w:rPr>
          <w:t>https://doi.org/10.1016/j.econedurev.2007.05.005</w:t>
        </w:r>
      </w:hyperlink>
      <w:r w:rsidR="006D7C62">
        <w:rPr>
          <w:rFonts w:ascii="Times New Roman" w:hAnsi="Times New Roman" w:cs="Times New Roman"/>
        </w:rPr>
        <w:t xml:space="preserve"> </w:t>
      </w:r>
    </w:p>
    <w:p w14:paraId="49D818E5" w14:textId="77777777" w:rsidR="004B6701" w:rsidRDefault="00BC3DEF" w:rsidP="004B6701">
      <w:pPr>
        <w:ind w:left="720" w:hanging="720"/>
        <w:rPr>
          <w:rFonts w:ascii="Times New Roman" w:hAnsi="Times New Roman" w:cs="Times New Roman"/>
        </w:rPr>
      </w:pPr>
      <w:bookmarkStart w:id="4" w:name="ref-rockoff2004impact"/>
      <w:bookmarkEnd w:id="3"/>
      <w:r w:rsidRPr="00BC3DEF">
        <w:rPr>
          <w:rFonts w:ascii="Times New Roman" w:hAnsi="Times New Roman" w:cs="Times New Roman"/>
        </w:rPr>
        <w:t xml:space="preserve">Ladd, &amp; Sorensen, L. C. (2017). Returns to Teacher Experience: Student Achievement and Motivation in Middle School. Education Finance and Policy, 12(2), 241–279. </w:t>
      </w:r>
      <w:hyperlink r:id="rId20" w:history="1">
        <w:r w:rsidR="00E9731E" w:rsidRPr="00D35CE9">
          <w:rPr>
            <w:rStyle w:val="Hyperlink"/>
            <w:rFonts w:ascii="Times New Roman" w:hAnsi="Times New Roman" w:cs="Times New Roman"/>
          </w:rPr>
          <w:t>https://doi.org/10.1162/EDFP_a_00194</w:t>
        </w:r>
      </w:hyperlink>
    </w:p>
    <w:p w14:paraId="4915977D" w14:textId="619381D3" w:rsidR="004B6701" w:rsidRPr="004B6701" w:rsidRDefault="004B6701" w:rsidP="004B6701">
      <w:pPr>
        <w:ind w:left="720" w:hanging="720"/>
        <w:rPr>
          <w:rFonts w:ascii="Times New Roman" w:hAnsi="Times New Roman" w:cs="Times New Roman"/>
        </w:rPr>
      </w:pPr>
      <w:r w:rsidRPr="004B6701">
        <w:rPr>
          <w:rFonts w:ascii="Times New Roman" w:hAnsi="Times New Roman" w:cs="Times New Roman"/>
        </w:rPr>
        <w:t xml:space="preserve">Lim, &amp; Meer, J. (2017). The impact of teacher-student gender matches: Random assignment evidence from South Korea. The Journal of Human Resources, 52(4), 979–997. </w:t>
      </w:r>
      <w:hyperlink r:id="rId21" w:history="1">
        <w:r w:rsidRPr="00FD6AE6">
          <w:rPr>
            <w:rStyle w:val="Hyperlink"/>
            <w:rFonts w:ascii="Times New Roman" w:hAnsi="Times New Roman" w:cs="Times New Roman"/>
          </w:rPr>
          <w:t>https://doi.org/10.3368/jhr.52.4.1215-7585R1</w:t>
        </w:r>
      </w:hyperlink>
      <w:r>
        <w:rPr>
          <w:rFonts w:ascii="Times New Roman" w:hAnsi="Times New Roman" w:cs="Times New Roman"/>
        </w:rPr>
        <w:t xml:space="preserve"> </w:t>
      </w:r>
    </w:p>
    <w:p w14:paraId="58CBB7EC" w14:textId="77777777" w:rsidR="00D54CA2" w:rsidRPr="00D54CA2" w:rsidRDefault="00E9731E" w:rsidP="00D54CA2">
      <w:pPr>
        <w:ind w:left="720" w:hanging="720"/>
        <w:rPr>
          <w:rFonts w:ascii="Times New Roman" w:hAnsi="Times New Roman" w:cs="Times New Roman"/>
        </w:rPr>
      </w:pPr>
      <w:proofErr w:type="spellStart"/>
      <w:r w:rsidRPr="00E9731E">
        <w:rPr>
          <w:rFonts w:ascii="Times New Roman" w:hAnsi="Times New Roman" w:cs="Times New Roman"/>
        </w:rPr>
        <w:t>Marioni</w:t>
      </w:r>
      <w:proofErr w:type="spellEnd"/>
      <w:r w:rsidRPr="00E9731E">
        <w:rPr>
          <w:rFonts w:ascii="Times New Roman" w:hAnsi="Times New Roman" w:cs="Times New Roman"/>
        </w:rPr>
        <w:t xml:space="preserve">, </w:t>
      </w:r>
      <w:proofErr w:type="spellStart"/>
      <w:r w:rsidRPr="00E9731E">
        <w:rPr>
          <w:rFonts w:ascii="Times New Roman" w:hAnsi="Times New Roman" w:cs="Times New Roman"/>
        </w:rPr>
        <w:t>Freguglia</w:t>
      </w:r>
      <w:proofErr w:type="spellEnd"/>
      <w:r w:rsidRPr="00E9731E">
        <w:rPr>
          <w:rFonts w:ascii="Times New Roman" w:hAnsi="Times New Roman" w:cs="Times New Roman"/>
        </w:rPr>
        <w:t xml:space="preserve">, R. D. S., &amp; Menezes-Filho, N. A. (2020). The impacts of teacher working conditions and human capital on student achievement: evidence from </w:t>
      </w:r>
      <w:proofErr w:type="spellStart"/>
      <w:r w:rsidRPr="00E9731E">
        <w:rPr>
          <w:rFonts w:ascii="Times New Roman" w:hAnsi="Times New Roman" w:cs="Times New Roman"/>
        </w:rPr>
        <w:t>brazilian</w:t>
      </w:r>
      <w:proofErr w:type="spellEnd"/>
      <w:r w:rsidRPr="00E9731E">
        <w:rPr>
          <w:rFonts w:ascii="Times New Roman" w:hAnsi="Times New Roman" w:cs="Times New Roman"/>
        </w:rPr>
        <w:t xml:space="preserve"> longitudinal data. Applied Economics, 52(6), 568–582. </w:t>
      </w:r>
      <w:hyperlink r:id="rId22" w:history="1">
        <w:r w:rsidR="006D7C62" w:rsidRPr="00D35CE9">
          <w:rPr>
            <w:rStyle w:val="Hyperlink"/>
            <w:rFonts w:ascii="Times New Roman" w:hAnsi="Times New Roman" w:cs="Times New Roman"/>
          </w:rPr>
          <w:t>https://doi.org/10.1080/00036846.2019.1650885</w:t>
        </w:r>
      </w:hyperlink>
      <w:r w:rsidR="006D7C62">
        <w:rPr>
          <w:rFonts w:ascii="Times New Roman" w:hAnsi="Times New Roman" w:cs="Times New Roman"/>
        </w:rPr>
        <w:t xml:space="preserve"> </w:t>
      </w:r>
    </w:p>
    <w:p w14:paraId="41B298EA" w14:textId="77777777" w:rsidR="00D54CA2" w:rsidRPr="00D54CA2" w:rsidRDefault="00D54CA2" w:rsidP="00D54CA2">
      <w:pPr>
        <w:ind w:left="720" w:hanging="720"/>
        <w:rPr>
          <w:rFonts w:ascii="Times New Roman" w:hAnsi="Times New Roman" w:cs="Times New Roman"/>
        </w:rPr>
      </w:pPr>
      <w:proofErr w:type="spellStart"/>
      <w:r w:rsidRPr="00D54CA2">
        <w:rPr>
          <w:rFonts w:ascii="Times New Roman" w:hAnsi="Times New Roman" w:cs="Times New Roman"/>
        </w:rPr>
        <w:t>Papay</w:t>
      </w:r>
      <w:proofErr w:type="spellEnd"/>
      <w:r w:rsidRPr="00D54CA2">
        <w:rPr>
          <w:rFonts w:ascii="Times New Roman" w:hAnsi="Times New Roman" w:cs="Times New Roman"/>
        </w:rPr>
        <w:t xml:space="preserve">, &amp; Kraft, M. A. (2015). Productivity returns to experience in the teacher labor market: Methodological challenges and new evidence on long-term career improvement. Journal of Public Economics, 130, 105–119. </w:t>
      </w:r>
      <w:hyperlink r:id="rId23" w:history="1">
        <w:r w:rsidRPr="005F7F8A">
          <w:rPr>
            <w:rStyle w:val="Hyperlink"/>
            <w:rFonts w:ascii="Times New Roman" w:hAnsi="Times New Roman" w:cs="Times New Roman"/>
          </w:rPr>
          <w:t>https://doi.org/10.1016/j.jpubeco.2015.02.008</w:t>
        </w:r>
      </w:hyperlink>
      <w:r>
        <w:rPr>
          <w:rFonts w:ascii="Times New Roman" w:hAnsi="Times New Roman" w:cs="Times New Roman"/>
        </w:rPr>
        <w:t xml:space="preserve"> </w:t>
      </w:r>
    </w:p>
    <w:p w14:paraId="1D1968BE" w14:textId="4A1311F8" w:rsidR="00E9731E" w:rsidRPr="00E9731E" w:rsidRDefault="00D54CA2" w:rsidP="00D54CA2">
      <w:pPr>
        <w:ind w:left="720" w:hanging="720"/>
        <w:rPr>
          <w:rFonts w:ascii="Times New Roman" w:hAnsi="Times New Roman" w:cs="Times New Roman"/>
        </w:rPr>
      </w:pPr>
      <w:r w:rsidRPr="00D54CA2">
        <w:rPr>
          <w:rFonts w:ascii="Times New Roman" w:hAnsi="Times New Roman" w:cs="Times New Roman"/>
        </w:rPr>
        <w:t>Rice. (2013). Learning from Experience? Evidence on the Impact and Distribution of Teacher Experience and the Implications for Teacher Policy. Education Finance and Policy, 8(3), 332–348. https://doi.org/10.1162/EDFP_a_00099</w:t>
      </w:r>
    </w:p>
    <w:bookmarkEnd w:id="1"/>
    <w:bookmarkEnd w:id="4"/>
    <w:p w14:paraId="46BF01AC" w14:textId="77777777" w:rsidR="003D336D" w:rsidRDefault="00915C81" w:rsidP="003D336D">
      <w:pPr>
        <w:ind w:left="720" w:hanging="720"/>
        <w:rPr>
          <w:rFonts w:ascii="Times New Roman" w:hAnsi="Times New Roman" w:cs="Times New Roman"/>
        </w:rPr>
      </w:pPr>
      <w:r w:rsidRPr="00915C81">
        <w:rPr>
          <w:rFonts w:ascii="Times New Roman" w:hAnsi="Times New Roman" w:cs="Times New Roman"/>
        </w:rPr>
        <w:t xml:space="preserve">Rockoff. (2004). The Impact of Individual Teachers on Student Achievement: Evidence from Panel Data. The American Economic Review, 94(2), 247–252. </w:t>
      </w:r>
      <w:hyperlink r:id="rId24" w:history="1">
        <w:r w:rsidR="003500CE" w:rsidRPr="00D35CE9">
          <w:rPr>
            <w:rStyle w:val="Hyperlink"/>
            <w:rFonts w:ascii="Times New Roman" w:hAnsi="Times New Roman" w:cs="Times New Roman"/>
          </w:rPr>
          <w:t>https://doi.org/10.1257/0002828041302244</w:t>
        </w:r>
      </w:hyperlink>
    </w:p>
    <w:p w14:paraId="7EF87E88" w14:textId="77777777" w:rsidR="00020143" w:rsidRPr="00020143" w:rsidRDefault="003D336D" w:rsidP="00020143">
      <w:pPr>
        <w:ind w:left="720" w:hanging="720"/>
        <w:rPr>
          <w:rFonts w:ascii="Times New Roman" w:hAnsi="Times New Roman" w:cs="Times New Roman"/>
        </w:rPr>
      </w:pPr>
      <w:r w:rsidRPr="003D336D">
        <w:rPr>
          <w:rFonts w:ascii="Times New Roman" w:hAnsi="Times New Roman" w:cs="Times New Roman"/>
        </w:rPr>
        <w:t xml:space="preserve">Sansone. (2017). Why does teacher gender matter? Economics of Education Review, 61(December), 9–18. </w:t>
      </w:r>
      <w:hyperlink r:id="rId25" w:history="1">
        <w:r w:rsidRPr="00FD6AE6">
          <w:rPr>
            <w:rStyle w:val="Hyperlink"/>
            <w:rFonts w:ascii="Times New Roman" w:hAnsi="Times New Roman" w:cs="Times New Roman"/>
          </w:rPr>
          <w:t>https://doi.org/10.1016/j.econedurev.2017.09.004</w:t>
        </w:r>
      </w:hyperlink>
      <w:r>
        <w:rPr>
          <w:rFonts w:ascii="Times New Roman" w:hAnsi="Times New Roman" w:cs="Times New Roman"/>
        </w:rPr>
        <w:t xml:space="preserve"> </w:t>
      </w:r>
    </w:p>
    <w:p w14:paraId="394E7F44" w14:textId="53B42B98" w:rsidR="003D336D" w:rsidRPr="003D336D" w:rsidRDefault="00020143" w:rsidP="00020143">
      <w:pPr>
        <w:ind w:left="720" w:hanging="720"/>
        <w:rPr>
          <w:rFonts w:ascii="Times New Roman" w:hAnsi="Times New Roman" w:cs="Times New Roman"/>
        </w:rPr>
      </w:pPr>
      <w:r w:rsidRPr="00020143">
        <w:rPr>
          <w:rFonts w:ascii="Times New Roman" w:hAnsi="Times New Roman" w:cs="Times New Roman"/>
        </w:rPr>
        <w:t xml:space="preserve">Sansone. (2019). Teacher Characteristics, Student Beliefs, and the Gender Gap in STEM Fields. Educational Evaluation and Policy Analysis, 41(2), 127–144. </w:t>
      </w:r>
      <w:hyperlink r:id="rId26" w:history="1">
        <w:r w:rsidRPr="005F7F8A">
          <w:rPr>
            <w:rStyle w:val="Hyperlink"/>
            <w:rFonts w:ascii="Times New Roman" w:hAnsi="Times New Roman" w:cs="Times New Roman"/>
          </w:rPr>
          <w:t>https://doi.org/10.3102/0162373718819830</w:t>
        </w:r>
      </w:hyperlink>
      <w:r>
        <w:rPr>
          <w:rFonts w:ascii="Times New Roman" w:hAnsi="Times New Roman" w:cs="Times New Roman"/>
        </w:rPr>
        <w:t xml:space="preserve"> </w:t>
      </w:r>
    </w:p>
    <w:p w14:paraId="4B497EFA" w14:textId="2946DDE4" w:rsidR="00E9731E" w:rsidRDefault="00E9731E" w:rsidP="00BB61BB">
      <w:pPr>
        <w:ind w:left="720" w:hanging="720"/>
        <w:rPr>
          <w:rFonts w:ascii="Times New Roman" w:hAnsi="Times New Roman" w:cs="Times New Roman"/>
        </w:rPr>
      </w:pPr>
      <w:r w:rsidRPr="00E9731E">
        <w:rPr>
          <w:rFonts w:ascii="Times New Roman" w:hAnsi="Times New Roman" w:cs="Times New Roman"/>
        </w:rPr>
        <w:t>Wayne, &amp; Youngs, P. (2003). Teacher characteristics and student achievement gains: a review. Review of Educational Research, 73(1), 89–122. https://doi.org/10.3102/00346543073001089</w:t>
      </w:r>
    </w:p>
    <w:p w14:paraId="73B8FDB4" w14:textId="77777777" w:rsidR="00CD366F" w:rsidRPr="00CD366F" w:rsidRDefault="003500CE" w:rsidP="00CD366F">
      <w:pPr>
        <w:ind w:left="720" w:hanging="720"/>
        <w:rPr>
          <w:rFonts w:ascii="Times New Roman" w:hAnsi="Times New Roman" w:cs="Times New Roman"/>
        </w:rPr>
      </w:pPr>
      <w:r w:rsidRPr="003500CE">
        <w:rPr>
          <w:rFonts w:ascii="Times New Roman" w:hAnsi="Times New Roman" w:cs="Times New Roman"/>
        </w:rPr>
        <w:t xml:space="preserve">Winters, Haight, R. C., </w:t>
      </w:r>
      <w:proofErr w:type="spellStart"/>
      <w:r w:rsidRPr="003500CE">
        <w:rPr>
          <w:rFonts w:ascii="Times New Roman" w:hAnsi="Times New Roman" w:cs="Times New Roman"/>
        </w:rPr>
        <w:t>Swaim</w:t>
      </w:r>
      <w:proofErr w:type="spellEnd"/>
      <w:r w:rsidRPr="003500CE">
        <w:rPr>
          <w:rFonts w:ascii="Times New Roman" w:hAnsi="Times New Roman" w:cs="Times New Roman"/>
        </w:rPr>
        <w:t xml:space="preserve">, T. T., &amp; Pickering, K. A. (2013). The effect of same-gender teacher assignment on student achievement in the elementary and secondary grades: Evidence from panel data. Economics of Education Review, 34, 69–75. </w:t>
      </w:r>
      <w:hyperlink r:id="rId27" w:history="1">
        <w:r w:rsidR="00624B12" w:rsidRPr="00FD6AE6">
          <w:rPr>
            <w:rStyle w:val="Hyperlink"/>
            <w:rFonts w:ascii="Times New Roman" w:hAnsi="Times New Roman" w:cs="Times New Roman"/>
          </w:rPr>
          <w:t>https://doi.org/10.1016/j.econedurev.2013.01.007</w:t>
        </w:r>
      </w:hyperlink>
      <w:r w:rsidR="00624B12">
        <w:rPr>
          <w:rFonts w:ascii="Times New Roman" w:hAnsi="Times New Roman" w:cs="Times New Roman"/>
        </w:rPr>
        <w:t xml:space="preserve"> </w:t>
      </w:r>
    </w:p>
    <w:p w14:paraId="4237C4DF" w14:textId="3C57B0B3" w:rsidR="00624B12" w:rsidRPr="00624B12" w:rsidRDefault="00CD366F" w:rsidP="00CD366F">
      <w:pPr>
        <w:ind w:left="720" w:hanging="720"/>
        <w:rPr>
          <w:rFonts w:ascii="Times New Roman" w:hAnsi="Times New Roman" w:cs="Times New Roman"/>
        </w:rPr>
      </w:pPr>
      <w:proofErr w:type="spellStart"/>
      <w:r w:rsidRPr="00CD366F">
        <w:rPr>
          <w:rFonts w:ascii="Times New Roman" w:hAnsi="Times New Roman" w:cs="Times New Roman"/>
        </w:rPr>
        <w:t>Wiswall</w:t>
      </w:r>
      <w:proofErr w:type="spellEnd"/>
      <w:r w:rsidRPr="00CD366F">
        <w:rPr>
          <w:rFonts w:ascii="Times New Roman" w:hAnsi="Times New Roman" w:cs="Times New Roman"/>
        </w:rPr>
        <w:t xml:space="preserve">. (2013). The dynamics of teacher quality. Journal of Public Economics, 100, 61–78. </w:t>
      </w:r>
      <w:hyperlink r:id="rId28" w:history="1">
        <w:r w:rsidRPr="005F7F8A">
          <w:rPr>
            <w:rStyle w:val="Hyperlink"/>
            <w:rFonts w:ascii="Times New Roman" w:hAnsi="Times New Roman" w:cs="Times New Roman"/>
          </w:rPr>
          <w:t>https://doi.org/10.1016/j.jpubeco.2013.01.006</w:t>
        </w:r>
      </w:hyperlink>
      <w:r>
        <w:rPr>
          <w:rFonts w:ascii="Times New Roman" w:hAnsi="Times New Roman" w:cs="Times New Roman"/>
        </w:rPr>
        <w:t xml:space="preserve"> </w:t>
      </w:r>
    </w:p>
    <w:p w14:paraId="708882E3" w14:textId="01957534" w:rsidR="00624B12" w:rsidRPr="00624B12" w:rsidRDefault="00624B12" w:rsidP="00624B12">
      <w:pPr>
        <w:ind w:left="720" w:hanging="720"/>
        <w:rPr>
          <w:rFonts w:ascii="Times New Roman" w:hAnsi="Times New Roman" w:cs="Times New Roman"/>
        </w:rPr>
      </w:pPr>
      <w:r w:rsidRPr="00624B12">
        <w:rPr>
          <w:rFonts w:ascii="Times New Roman" w:hAnsi="Times New Roman" w:cs="Times New Roman"/>
        </w:rPr>
        <w:t xml:space="preserve">Xu, &amp; Li, Q. (2018). Gender achievement gaps among Chinese middle school students and the role of teachers’ gender. Economics of Education Review, 67, 82–93. </w:t>
      </w:r>
      <w:hyperlink r:id="rId29" w:history="1">
        <w:r w:rsidRPr="00FD6AE6">
          <w:rPr>
            <w:rStyle w:val="Hyperlink"/>
            <w:rFonts w:ascii="Times New Roman" w:hAnsi="Times New Roman" w:cs="Times New Roman"/>
          </w:rPr>
          <w:t>https://doi.org/10.1016/j.econedurev.2018.10.002</w:t>
        </w:r>
      </w:hyperlink>
      <w:r>
        <w:rPr>
          <w:rFonts w:ascii="Times New Roman" w:hAnsi="Times New Roman" w:cs="Times New Roman"/>
        </w:rPr>
        <w:t xml:space="preserve"> </w:t>
      </w:r>
    </w:p>
    <w:p w14:paraId="1409E6DB" w14:textId="4012438A" w:rsidR="003500CE" w:rsidRPr="003500CE" w:rsidRDefault="003500CE" w:rsidP="00BB61BB">
      <w:pPr>
        <w:ind w:left="720" w:hanging="720"/>
        <w:rPr>
          <w:rFonts w:ascii="Times New Roman" w:hAnsi="Times New Roman" w:cs="Times New Roman"/>
        </w:rPr>
      </w:pPr>
    </w:p>
    <w:p w14:paraId="5263EF74" w14:textId="36449A41" w:rsidR="005953D3" w:rsidRDefault="005953D3">
      <w:pPr>
        <w:rPr>
          <w:rFonts w:ascii="Times New Roman" w:hAnsi="Times New Roman" w:cs="Times New Roman"/>
        </w:rPr>
      </w:pPr>
      <w:r>
        <w:rPr>
          <w:rFonts w:ascii="Times New Roman" w:hAnsi="Times New Roman" w:cs="Times New Roman"/>
        </w:rPr>
        <w:br w:type="page"/>
      </w:r>
    </w:p>
    <w:p w14:paraId="00DE7C58" w14:textId="2DA30D85" w:rsidR="003500CE" w:rsidRDefault="005953D3" w:rsidP="00915C81">
      <w:pPr>
        <w:rPr>
          <w:rFonts w:ascii="Times New Roman" w:hAnsi="Times New Roman" w:cs="Times New Roman"/>
        </w:rPr>
      </w:pPr>
      <w:r>
        <w:rPr>
          <w:rFonts w:ascii="Times New Roman" w:hAnsi="Times New Roman" w:cs="Times New Roman"/>
        </w:rPr>
        <w:lastRenderedPageBreak/>
        <w:t>Model specifications</w:t>
      </w:r>
    </w:p>
    <w:p w14:paraId="634A70D2" w14:textId="39D70966" w:rsidR="005953D3" w:rsidRDefault="005953D3" w:rsidP="00915C81">
      <w:pPr>
        <w:rPr>
          <w:rFonts w:ascii="Times New Roman" w:hAnsi="Times New Roman" w:cs="Times New Roman"/>
        </w:rPr>
      </w:pPr>
    </w:p>
    <w:p w14:paraId="0990511F" w14:textId="0084B52F" w:rsidR="005953D3" w:rsidRPr="00915C81" w:rsidRDefault="005953D3" w:rsidP="00915C81">
      <w:pPr>
        <w:rPr>
          <w:rFonts w:ascii="Times New Roman" w:hAnsi="Times New Roman" w:cs="Times New Roman"/>
        </w:rPr>
      </w:pPr>
      <w:r>
        <w:rPr>
          <w:noProof/>
        </w:rPr>
        <w:drawing>
          <wp:inline distT="0" distB="0" distL="0" distR="0" wp14:anchorId="7E2771E9" wp14:editId="486BDEBA">
            <wp:extent cx="4538645" cy="1519968"/>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557880" cy="1526410"/>
                    </a:xfrm>
                    <a:prstGeom prst="rect">
                      <a:avLst/>
                    </a:prstGeom>
                  </pic:spPr>
                </pic:pic>
              </a:graphicData>
            </a:graphic>
          </wp:inline>
        </w:drawing>
      </w:r>
    </w:p>
    <w:p w14:paraId="2E69BBF9" w14:textId="77777777" w:rsidR="00FE79CB" w:rsidRPr="00FE79CB" w:rsidRDefault="00FE79CB" w:rsidP="00915C81">
      <w:pPr>
        <w:rPr>
          <w:rFonts w:ascii="Times New Roman" w:hAnsi="Times New Roman" w:cs="Times New Roman"/>
        </w:rPr>
      </w:pPr>
    </w:p>
    <w:sectPr w:rsidR="00FE79CB" w:rsidRPr="00FE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5BCD"/>
    <w:multiLevelType w:val="hybridMultilevel"/>
    <w:tmpl w:val="328EC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72B53"/>
    <w:multiLevelType w:val="hybridMultilevel"/>
    <w:tmpl w:val="A5007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82BE1"/>
    <w:multiLevelType w:val="hybridMultilevel"/>
    <w:tmpl w:val="3A42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21A66"/>
    <w:multiLevelType w:val="hybridMultilevel"/>
    <w:tmpl w:val="F554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520650">
    <w:abstractNumId w:val="1"/>
  </w:num>
  <w:num w:numId="2" w16cid:durableId="980033919">
    <w:abstractNumId w:val="3"/>
  </w:num>
  <w:num w:numId="3" w16cid:durableId="255333644">
    <w:abstractNumId w:val="2"/>
  </w:num>
  <w:num w:numId="4" w16cid:durableId="1997764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2A"/>
    <w:rsid w:val="00012269"/>
    <w:rsid w:val="00020143"/>
    <w:rsid w:val="000748D9"/>
    <w:rsid w:val="000E44D7"/>
    <w:rsid w:val="001E03EA"/>
    <w:rsid w:val="0021702A"/>
    <w:rsid w:val="002F6C7D"/>
    <w:rsid w:val="002F7FEA"/>
    <w:rsid w:val="00307685"/>
    <w:rsid w:val="003220CF"/>
    <w:rsid w:val="00325B39"/>
    <w:rsid w:val="003500CE"/>
    <w:rsid w:val="003A6543"/>
    <w:rsid w:val="003B0184"/>
    <w:rsid w:val="003C414F"/>
    <w:rsid w:val="003D336D"/>
    <w:rsid w:val="00406029"/>
    <w:rsid w:val="004229B7"/>
    <w:rsid w:val="004242F4"/>
    <w:rsid w:val="0045653B"/>
    <w:rsid w:val="004B6701"/>
    <w:rsid w:val="004B7466"/>
    <w:rsid w:val="004D66F9"/>
    <w:rsid w:val="004E7400"/>
    <w:rsid w:val="00502CEA"/>
    <w:rsid w:val="005953D3"/>
    <w:rsid w:val="005A6CF5"/>
    <w:rsid w:val="005B6789"/>
    <w:rsid w:val="00621234"/>
    <w:rsid w:val="00624B12"/>
    <w:rsid w:val="00657426"/>
    <w:rsid w:val="006652C6"/>
    <w:rsid w:val="00695FE8"/>
    <w:rsid w:val="006D7C62"/>
    <w:rsid w:val="0075698E"/>
    <w:rsid w:val="00770DB2"/>
    <w:rsid w:val="007F315F"/>
    <w:rsid w:val="00813F8B"/>
    <w:rsid w:val="00823ECF"/>
    <w:rsid w:val="008A6711"/>
    <w:rsid w:val="008D2F74"/>
    <w:rsid w:val="008D6DB9"/>
    <w:rsid w:val="00915C81"/>
    <w:rsid w:val="00921A32"/>
    <w:rsid w:val="009575C5"/>
    <w:rsid w:val="009A25C1"/>
    <w:rsid w:val="00A728BA"/>
    <w:rsid w:val="00AD712E"/>
    <w:rsid w:val="00B143C6"/>
    <w:rsid w:val="00B418CC"/>
    <w:rsid w:val="00BB61BB"/>
    <w:rsid w:val="00BC3DEF"/>
    <w:rsid w:val="00C8490E"/>
    <w:rsid w:val="00C93D61"/>
    <w:rsid w:val="00CB414A"/>
    <w:rsid w:val="00CD366F"/>
    <w:rsid w:val="00D0033C"/>
    <w:rsid w:val="00D54CA2"/>
    <w:rsid w:val="00DA62D1"/>
    <w:rsid w:val="00E00760"/>
    <w:rsid w:val="00E559E9"/>
    <w:rsid w:val="00E60CAF"/>
    <w:rsid w:val="00E9731E"/>
    <w:rsid w:val="00F42D11"/>
    <w:rsid w:val="00F70B2F"/>
    <w:rsid w:val="00F74D93"/>
    <w:rsid w:val="00FC0A36"/>
    <w:rsid w:val="00FD7461"/>
    <w:rsid w:val="00FE691E"/>
    <w:rsid w:val="00FE79CB"/>
    <w:rsid w:val="00FF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A0DA6"/>
  <w15:chartTrackingRefBased/>
  <w15:docId w15:val="{A595E28E-63E7-2948-8717-830D74CF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8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2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8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62D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569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13F8B"/>
    <w:rPr>
      <w:color w:val="0563C1" w:themeColor="hyperlink"/>
      <w:u w:val="single"/>
    </w:rPr>
  </w:style>
  <w:style w:type="character" w:styleId="UnresolvedMention">
    <w:name w:val="Unresolved Mention"/>
    <w:basedOn w:val="DefaultParagraphFont"/>
    <w:uiPriority w:val="99"/>
    <w:semiHidden/>
    <w:unhideWhenUsed/>
    <w:rsid w:val="00813F8B"/>
    <w:rPr>
      <w:color w:val="605E5C"/>
      <w:shd w:val="clear" w:color="auto" w:fill="E1DFDD"/>
    </w:rPr>
  </w:style>
  <w:style w:type="character" w:styleId="FollowedHyperlink">
    <w:name w:val="FollowedHyperlink"/>
    <w:basedOn w:val="DefaultParagraphFont"/>
    <w:uiPriority w:val="99"/>
    <w:semiHidden/>
    <w:unhideWhenUsed/>
    <w:rsid w:val="00F74D93"/>
    <w:rPr>
      <w:color w:val="954F72" w:themeColor="followedHyperlink"/>
      <w:u w:val="single"/>
    </w:rPr>
  </w:style>
  <w:style w:type="paragraph" w:styleId="ListParagraph">
    <w:name w:val="List Paragraph"/>
    <w:basedOn w:val="Normal"/>
    <w:uiPriority w:val="34"/>
    <w:qFormat/>
    <w:rsid w:val="008A6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4537">
      <w:bodyDiv w:val="1"/>
      <w:marLeft w:val="0"/>
      <w:marRight w:val="0"/>
      <w:marTop w:val="0"/>
      <w:marBottom w:val="0"/>
      <w:divBdr>
        <w:top w:val="none" w:sz="0" w:space="0" w:color="auto"/>
        <w:left w:val="none" w:sz="0" w:space="0" w:color="auto"/>
        <w:bottom w:val="none" w:sz="0" w:space="0" w:color="auto"/>
        <w:right w:val="none" w:sz="0" w:space="0" w:color="auto"/>
      </w:divBdr>
      <w:divsChild>
        <w:div w:id="889073217">
          <w:marLeft w:val="0"/>
          <w:marRight w:val="0"/>
          <w:marTop w:val="0"/>
          <w:marBottom w:val="0"/>
          <w:divBdr>
            <w:top w:val="none" w:sz="0" w:space="0" w:color="auto"/>
            <w:left w:val="none" w:sz="0" w:space="0" w:color="auto"/>
            <w:bottom w:val="none" w:sz="0" w:space="0" w:color="auto"/>
            <w:right w:val="none" w:sz="0" w:space="0" w:color="auto"/>
          </w:divBdr>
          <w:divsChild>
            <w:div w:id="1925457614">
              <w:marLeft w:val="0"/>
              <w:marRight w:val="0"/>
              <w:marTop w:val="0"/>
              <w:marBottom w:val="0"/>
              <w:divBdr>
                <w:top w:val="none" w:sz="0" w:space="0" w:color="auto"/>
                <w:left w:val="none" w:sz="0" w:space="0" w:color="auto"/>
                <w:bottom w:val="none" w:sz="0" w:space="0" w:color="auto"/>
                <w:right w:val="none" w:sz="0" w:space="0" w:color="auto"/>
              </w:divBdr>
              <w:divsChild>
                <w:div w:id="2035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760">
      <w:bodyDiv w:val="1"/>
      <w:marLeft w:val="0"/>
      <w:marRight w:val="0"/>
      <w:marTop w:val="0"/>
      <w:marBottom w:val="0"/>
      <w:divBdr>
        <w:top w:val="none" w:sz="0" w:space="0" w:color="auto"/>
        <w:left w:val="none" w:sz="0" w:space="0" w:color="auto"/>
        <w:bottom w:val="none" w:sz="0" w:space="0" w:color="auto"/>
        <w:right w:val="none" w:sz="0" w:space="0" w:color="auto"/>
      </w:divBdr>
      <w:divsChild>
        <w:div w:id="2060397271">
          <w:marLeft w:val="0"/>
          <w:marRight w:val="0"/>
          <w:marTop w:val="0"/>
          <w:marBottom w:val="0"/>
          <w:divBdr>
            <w:top w:val="none" w:sz="0" w:space="0" w:color="auto"/>
            <w:left w:val="none" w:sz="0" w:space="0" w:color="auto"/>
            <w:bottom w:val="none" w:sz="0" w:space="0" w:color="auto"/>
            <w:right w:val="none" w:sz="0" w:space="0" w:color="auto"/>
          </w:divBdr>
          <w:divsChild>
            <w:div w:id="2143649470">
              <w:marLeft w:val="0"/>
              <w:marRight w:val="0"/>
              <w:marTop w:val="0"/>
              <w:marBottom w:val="0"/>
              <w:divBdr>
                <w:top w:val="none" w:sz="0" w:space="0" w:color="auto"/>
                <w:left w:val="none" w:sz="0" w:space="0" w:color="auto"/>
                <w:bottom w:val="none" w:sz="0" w:space="0" w:color="auto"/>
                <w:right w:val="none" w:sz="0" w:space="0" w:color="auto"/>
              </w:divBdr>
              <w:divsChild>
                <w:div w:id="1126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6267">
      <w:bodyDiv w:val="1"/>
      <w:marLeft w:val="0"/>
      <w:marRight w:val="0"/>
      <w:marTop w:val="0"/>
      <w:marBottom w:val="0"/>
      <w:divBdr>
        <w:top w:val="none" w:sz="0" w:space="0" w:color="auto"/>
        <w:left w:val="none" w:sz="0" w:space="0" w:color="auto"/>
        <w:bottom w:val="none" w:sz="0" w:space="0" w:color="auto"/>
        <w:right w:val="none" w:sz="0" w:space="0" w:color="auto"/>
      </w:divBdr>
      <w:divsChild>
        <w:div w:id="1612085937">
          <w:marLeft w:val="0"/>
          <w:marRight w:val="0"/>
          <w:marTop w:val="0"/>
          <w:marBottom w:val="0"/>
          <w:divBdr>
            <w:top w:val="none" w:sz="0" w:space="0" w:color="auto"/>
            <w:left w:val="none" w:sz="0" w:space="0" w:color="auto"/>
            <w:bottom w:val="none" w:sz="0" w:space="0" w:color="auto"/>
            <w:right w:val="none" w:sz="0" w:space="0" w:color="auto"/>
          </w:divBdr>
          <w:divsChild>
            <w:div w:id="2082097483">
              <w:marLeft w:val="0"/>
              <w:marRight w:val="0"/>
              <w:marTop w:val="0"/>
              <w:marBottom w:val="0"/>
              <w:divBdr>
                <w:top w:val="none" w:sz="0" w:space="0" w:color="auto"/>
                <w:left w:val="none" w:sz="0" w:space="0" w:color="auto"/>
                <w:bottom w:val="none" w:sz="0" w:space="0" w:color="auto"/>
                <w:right w:val="none" w:sz="0" w:space="0" w:color="auto"/>
              </w:divBdr>
              <w:divsChild>
                <w:div w:id="9295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1109">
      <w:bodyDiv w:val="1"/>
      <w:marLeft w:val="0"/>
      <w:marRight w:val="0"/>
      <w:marTop w:val="0"/>
      <w:marBottom w:val="0"/>
      <w:divBdr>
        <w:top w:val="none" w:sz="0" w:space="0" w:color="auto"/>
        <w:left w:val="none" w:sz="0" w:space="0" w:color="auto"/>
        <w:bottom w:val="none" w:sz="0" w:space="0" w:color="auto"/>
        <w:right w:val="none" w:sz="0" w:space="0" w:color="auto"/>
      </w:divBdr>
      <w:divsChild>
        <w:div w:id="120612815">
          <w:marLeft w:val="0"/>
          <w:marRight w:val="0"/>
          <w:marTop w:val="0"/>
          <w:marBottom w:val="0"/>
          <w:divBdr>
            <w:top w:val="none" w:sz="0" w:space="0" w:color="auto"/>
            <w:left w:val="none" w:sz="0" w:space="0" w:color="auto"/>
            <w:bottom w:val="none" w:sz="0" w:space="0" w:color="auto"/>
            <w:right w:val="none" w:sz="0" w:space="0" w:color="auto"/>
          </w:divBdr>
          <w:divsChild>
            <w:div w:id="1638951613">
              <w:marLeft w:val="0"/>
              <w:marRight w:val="0"/>
              <w:marTop w:val="0"/>
              <w:marBottom w:val="0"/>
              <w:divBdr>
                <w:top w:val="none" w:sz="0" w:space="0" w:color="auto"/>
                <w:left w:val="none" w:sz="0" w:space="0" w:color="auto"/>
                <w:bottom w:val="none" w:sz="0" w:space="0" w:color="auto"/>
                <w:right w:val="none" w:sz="0" w:space="0" w:color="auto"/>
              </w:divBdr>
              <w:divsChild>
                <w:div w:id="21076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9138">
      <w:bodyDiv w:val="1"/>
      <w:marLeft w:val="0"/>
      <w:marRight w:val="0"/>
      <w:marTop w:val="0"/>
      <w:marBottom w:val="0"/>
      <w:divBdr>
        <w:top w:val="none" w:sz="0" w:space="0" w:color="auto"/>
        <w:left w:val="none" w:sz="0" w:space="0" w:color="auto"/>
        <w:bottom w:val="none" w:sz="0" w:space="0" w:color="auto"/>
        <w:right w:val="none" w:sz="0" w:space="0" w:color="auto"/>
      </w:divBdr>
      <w:divsChild>
        <w:div w:id="43526618">
          <w:marLeft w:val="0"/>
          <w:marRight w:val="0"/>
          <w:marTop w:val="0"/>
          <w:marBottom w:val="0"/>
          <w:divBdr>
            <w:top w:val="none" w:sz="0" w:space="0" w:color="auto"/>
            <w:left w:val="none" w:sz="0" w:space="0" w:color="auto"/>
            <w:bottom w:val="none" w:sz="0" w:space="0" w:color="auto"/>
            <w:right w:val="none" w:sz="0" w:space="0" w:color="auto"/>
          </w:divBdr>
          <w:divsChild>
            <w:div w:id="363410332">
              <w:marLeft w:val="0"/>
              <w:marRight w:val="0"/>
              <w:marTop w:val="0"/>
              <w:marBottom w:val="0"/>
              <w:divBdr>
                <w:top w:val="none" w:sz="0" w:space="0" w:color="auto"/>
                <w:left w:val="none" w:sz="0" w:space="0" w:color="auto"/>
                <w:bottom w:val="none" w:sz="0" w:space="0" w:color="auto"/>
                <w:right w:val="none" w:sz="0" w:space="0" w:color="auto"/>
              </w:divBdr>
              <w:divsChild>
                <w:div w:id="1373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4841">
      <w:bodyDiv w:val="1"/>
      <w:marLeft w:val="0"/>
      <w:marRight w:val="0"/>
      <w:marTop w:val="0"/>
      <w:marBottom w:val="0"/>
      <w:divBdr>
        <w:top w:val="none" w:sz="0" w:space="0" w:color="auto"/>
        <w:left w:val="none" w:sz="0" w:space="0" w:color="auto"/>
        <w:bottom w:val="none" w:sz="0" w:space="0" w:color="auto"/>
        <w:right w:val="none" w:sz="0" w:space="0" w:color="auto"/>
      </w:divBdr>
      <w:divsChild>
        <w:div w:id="2044553551">
          <w:marLeft w:val="0"/>
          <w:marRight w:val="0"/>
          <w:marTop w:val="0"/>
          <w:marBottom w:val="0"/>
          <w:divBdr>
            <w:top w:val="none" w:sz="0" w:space="0" w:color="auto"/>
            <w:left w:val="none" w:sz="0" w:space="0" w:color="auto"/>
            <w:bottom w:val="none" w:sz="0" w:space="0" w:color="auto"/>
            <w:right w:val="none" w:sz="0" w:space="0" w:color="auto"/>
          </w:divBdr>
          <w:divsChild>
            <w:div w:id="1441947644">
              <w:marLeft w:val="0"/>
              <w:marRight w:val="0"/>
              <w:marTop w:val="0"/>
              <w:marBottom w:val="0"/>
              <w:divBdr>
                <w:top w:val="none" w:sz="0" w:space="0" w:color="auto"/>
                <w:left w:val="none" w:sz="0" w:space="0" w:color="auto"/>
                <w:bottom w:val="none" w:sz="0" w:space="0" w:color="auto"/>
                <w:right w:val="none" w:sz="0" w:space="0" w:color="auto"/>
              </w:divBdr>
              <w:divsChild>
                <w:div w:id="1197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81223">
      <w:bodyDiv w:val="1"/>
      <w:marLeft w:val="0"/>
      <w:marRight w:val="0"/>
      <w:marTop w:val="0"/>
      <w:marBottom w:val="0"/>
      <w:divBdr>
        <w:top w:val="none" w:sz="0" w:space="0" w:color="auto"/>
        <w:left w:val="none" w:sz="0" w:space="0" w:color="auto"/>
        <w:bottom w:val="none" w:sz="0" w:space="0" w:color="auto"/>
        <w:right w:val="none" w:sz="0" w:space="0" w:color="auto"/>
      </w:divBdr>
      <w:divsChild>
        <w:div w:id="601686371">
          <w:marLeft w:val="0"/>
          <w:marRight w:val="0"/>
          <w:marTop w:val="0"/>
          <w:marBottom w:val="0"/>
          <w:divBdr>
            <w:top w:val="none" w:sz="0" w:space="0" w:color="auto"/>
            <w:left w:val="none" w:sz="0" w:space="0" w:color="auto"/>
            <w:bottom w:val="none" w:sz="0" w:space="0" w:color="auto"/>
            <w:right w:val="none" w:sz="0" w:space="0" w:color="auto"/>
          </w:divBdr>
          <w:divsChild>
            <w:div w:id="1119761910">
              <w:marLeft w:val="0"/>
              <w:marRight w:val="0"/>
              <w:marTop w:val="0"/>
              <w:marBottom w:val="0"/>
              <w:divBdr>
                <w:top w:val="none" w:sz="0" w:space="0" w:color="auto"/>
                <w:left w:val="none" w:sz="0" w:space="0" w:color="auto"/>
                <w:bottom w:val="none" w:sz="0" w:space="0" w:color="auto"/>
                <w:right w:val="none" w:sz="0" w:space="0" w:color="auto"/>
              </w:divBdr>
              <w:divsChild>
                <w:div w:id="6547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330">
      <w:bodyDiv w:val="1"/>
      <w:marLeft w:val="0"/>
      <w:marRight w:val="0"/>
      <w:marTop w:val="0"/>
      <w:marBottom w:val="0"/>
      <w:divBdr>
        <w:top w:val="none" w:sz="0" w:space="0" w:color="auto"/>
        <w:left w:val="none" w:sz="0" w:space="0" w:color="auto"/>
        <w:bottom w:val="none" w:sz="0" w:space="0" w:color="auto"/>
        <w:right w:val="none" w:sz="0" w:space="0" w:color="auto"/>
      </w:divBdr>
      <w:divsChild>
        <w:div w:id="68120262">
          <w:marLeft w:val="0"/>
          <w:marRight w:val="0"/>
          <w:marTop w:val="0"/>
          <w:marBottom w:val="0"/>
          <w:divBdr>
            <w:top w:val="none" w:sz="0" w:space="0" w:color="auto"/>
            <w:left w:val="none" w:sz="0" w:space="0" w:color="auto"/>
            <w:bottom w:val="none" w:sz="0" w:space="0" w:color="auto"/>
            <w:right w:val="none" w:sz="0" w:space="0" w:color="auto"/>
          </w:divBdr>
          <w:divsChild>
            <w:div w:id="850728601">
              <w:marLeft w:val="0"/>
              <w:marRight w:val="0"/>
              <w:marTop w:val="0"/>
              <w:marBottom w:val="0"/>
              <w:divBdr>
                <w:top w:val="none" w:sz="0" w:space="0" w:color="auto"/>
                <w:left w:val="none" w:sz="0" w:space="0" w:color="auto"/>
                <w:bottom w:val="none" w:sz="0" w:space="0" w:color="auto"/>
                <w:right w:val="none" w:sz="0" w:space="0" w:color="auto"/>
              </w:divBdr>
              <w:divsChild>
                <w:div w:id="16581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4303">
      <w:bodyDiv w:val="1"/>
      <w:marLeft w:val="0"/>
      <w:marRight w:val="0"/>
      <w:marTop w:val="0"/>
      <w:marBottom w:val="0"/>
      <w:divBdr>
        <w:top w:val="none" w:sz="0" w:space="0" w:color="auto"/>
        <w:left w:val="none" w:sz="0" w:space="0" w:color="auto"/>
        <w:bottom w:val="none" w:sz="0" w:space="0" w:color="auto"/>
        <w:right w:val="none" w:sz="0" w:space="0" w:color="auto"/>
      </w:divBdr>
      <w:divsChild>
        <w:div w:id="874847259">
          <w:marLeft w:val="0"/>
          <w:marRight w:val="0"/>
          <w:marTop w:val="0"/>
          <w:marBottom w:val="0"/>
          <w:divBdr>
            <w:top w:val="none" w:sz="0" w:space="0" w:color="auto"/>
            <w:left w:val="none" w:sz="0" w:space="0" w:color="auto"/>
            <w:bottom w:val="none" w:sz="0" w:space="0" w:color="auto"/>
            <w:right w:val="none" w:sz="0" w:space="0" w:color="auto"/>
          </w:divBdr>
          <w:divsChild>
            <w:div w:id="179128576">
              <w:marLeft w:val="0"/>
              <w:marRight w:val="0"/>
              <w:marTop w:val="0"/>
              <w:marBottom w:val="0"/>
              <w:divBdr>
                <w:top w:val="none" w:sz="0" w:space="0" w:color="auto"/>
                <w:left w:val="none" w:sz="0" w:space="0" w:color="auto"/>
                <w:bottom w:val="none" w:sz="0" w:space="0" w:color="auto"/>
                <w:right w:val="none" w:sz="0" w:space="0" w:color="auto"/>
              </w:divBdr>
              <w:divsChild>
                <w:div w:id="19394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4362">
      <w:bodyDiv w:val="1"/>
      <w:marLeft w:val="0"/>
      <w:marRight w:val="0"/>
      <w:marTop w:val="0"/>
      <w:marBottom w:val="0"/>
      <w:divBdr>
        <w:top w:val="none" w:sz="0" w:space="0" w:color="auto"/>
        <w:left w:val="none" w:sz="0" w:space="0" w:color="auto"/>
        <w:bottom w:val="none" w:sz="0" w:space="0" w:color="auto"/>
        <w:right w:val="none" w:sz="0" w:space="0" w:color="auto"/>
      </w:divBdr>
      <w:divsChild>
        <w:div w:id="2048680081">
          <w:marLeft w:val="0"/>
          <w:marRight w:val="0"/>
          <w:marTop w:val="0"/>
          <w:marBottom w:val="0"/>
          <w:divBdr>
            <w:top w:val="none" w:sz="0" w:space="0" w:color="auto"/>
            <w:left w:val="none" w:sz="0" w:space="0" w:color="auto"/>
            <w:bottom w:val="none" w:sz="0" w:space="0" w:color="auto"/>
            <w:right w:val="none" w:sz="0" w:space="0" w:color="auto"/>
          </w:divBdr>
          <w:divsChild>
            <w:div w:id="1772120715">
              <w:marLeft w:val="0"/>
              <w:marRight w:val="0"/>
              <w:marTop w:val="0"/>
              <w:marBottom w:val="0"/>
              <w:divBdr>
                <w:top w:val="none" w:sz="0" w:space="0" w:color="auto"/>
                <w:left w:val="none" w:sz="0" w:space="0" w:color="auto"/>
                <w:bottom w:val="none" w:sz="0" w:space="0" w:color="auto"/>
                <w:right w:val="none" w:sz="0" w:space="0" w:color="auto"/>
              </w:divBdr>
              <w:divsChild>
                <w:div w:id="114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12164">
      <w:bodyDiv w:val="1"/>
      <w:marLeft w:val="0"/>
      <w:marRight w:val="0"/>
      <w:marTop w:val="0"/>
      <w:marBottom w:val="0"/>
      <w:divBdr>
        <w:top w:val="none" w:sz="0" w:space="0" w:color="auto"/>
        <w:left w:val="none" w:sz="0" w:space="0" w:color="auto"/>
        <w:bottom w:val="none" w:sz="0" w:space="0" w:color="auto"/>
        <w:right w:val="none" w:sz="0" w:space="0" w:color="auto"/>
      </w:divBdr>
      <w:divsChild>
        <w:div w:id="818962327">
          <w:marLeft w:val="0"/>
          <w:marRight w:val="0"/>
          <w:marTop w:val="0"/>
          <w:marBottom w:val="0"/>
          <w:divBdr>
            <w:top w:val="none" w:sz="0" w:space="0" w:color="auto"/>
            <w:left w:val="none" w:sz="0" w:space="0" w:color="auto"/>
            <w:bottom w:val="none" w:sz="0" w:space="0" w:color="auto"/>
            <w:right w:val="none" w:sz="0" w:space="0" w:color="auto"/>
          </w:divBdr>
          <w:divsChild>
            <w:div w:id="145980990">
              <w:marLeft w:val="0"/>
              <w:marRight w:val="0"/>
              <w:marTop w:val="0"/>
              <w:marBottom w:val="0"/>
              <w:divBdr>
                <w:top w:val="none" w:sz="0" w:space="0" w:color="auto"/>
                <w:left w:val="none" w:sz="0" w:space="0" w:color="auto"/>
                <w:bottom w:val="none" w:sz="0" w:space="0" w:color="auto"/>
                <w:right w:val="none" w:sz="0" w:space="0" w:color="auto"/>
              </w:divBdr>
              <w:divsChild>
                <w:div w:id="6903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6754">
      <w:bodyDiv w:val="1"/>
      <w:marLeft w:val="0"/>
      <w:marRight w:val="0"/>
      <w:marTop w:val="0"/>
      <w:marBottom w:val="0"/>
      <w:divBdr>
        <w:top w:val="none" w:sz="0" w:space="0" w:color="auto"/>
        <w:left w:val="none" w:sz="0" w:space="0" w:color="auto"/>
        <w:bottom w:val="none" w:sz="0" w:space="0" w:color="auto"/>
        <w:right w:val="none" w:sz="0" w:space="0" w:color="auto"/>
      </w:divBdr>
      <w:divsChild>
        <w:div w:id="88622868">
          <w:marLeft w:val="0"/>
          <w:marRight w:val="0"/>
          <w:marTop w:val="0"/>
          <w:marBottom w:val="0"/>
          <w:divBdr>
            <w:top w:val="none" w:sz="0" w:space="0" w:color="auto"/>
            <w:left w:val="none" w:sz="0" w:space="0" w:color="auto"/>
            <w:bottom w:val="none" w:sz="0" w:space="0" w:color="auto"/>
            <w:right w:val="none" w:sz="0" w:space="0" w:color="auto"/>
          </w:divBdr>
          <w:divsChild>
            <w:div w:id="1295871581">
              <w:marLeft w:val="0"/>
              <w:marRight w:val="0"/>
              <w:marTop w:val="0"/>
              <w:marBottom w:val="0"/>
              <w:divBdr>
                <w:top w:val="none" w:sz="0" w:space="0" w:color="auto"/>
                <w:left w:val="none" w:sz="0" w:space="0" w:color="auto"/>
                <w:bottom w:val="none" w:sz="0" w:space="0" w:color="auto"/>
                <w:right w:val="none" w:sz="0" w:space="0" w:color="auto"/>
              </w:divBdr>
              <w:divsChild>
                <w:div w:id="813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87266">
      <w:bodyDiv w:val="1"/>
      <w:marLeft w:val="0"/>
      <w:marRight w:val="0"/>
      <w:marTop w:val="0"/>
      <w:marBottom w:val="0"/>
      <w:divBdr>
        <w:top w:val="none" w:sz="0" w:space="0" w:color="auto"/>
        <w:left w:val="none" w:sz="0" w:space="0" w:color="auto"/>
        <w:bottom w:val="none" w:sz="0" w:space="0" w:color="auto"/>
        <w:right w:val="none" w:sz="0" w:space="0" w:color="auto"/>
      </w:divBdr>
      <w:divsChild>
        <w:div w:id="1486626651">
          <w:marLeft w:val="0"/>
          <w:marRight w:val="0"/>
          <w:marTop w:val="0"/>
          <w:marBottom w:val="0"/>
          <w:divBdr>
            <w:top w:val="none" w:sz="0" w:space="0" w:color="auto"/>
            <w:left w:val="none" w:sz="0" w:space="0" w:color="auto"/>
            <w:bottom w:val="none" w:sz="0" w:space="0" w:color="auto"/>
            <w:right w:val="none" w:sz="0" w:space="0" w:color="auto"/>
          </w:divBdr>
          <w:divsChild>
            <w:div w:id="918948203">
              <w:marLeft w:val="0"/>
              <w:marRight w:val="0"/>
              <w:marTop w:val="0"/>
              <w:marBottom w:val="0"/>
              <w:divBdr>
                <w:top w:val="none" w:sz="0" w:space="0" w:color="auto"/>
                <w:left w:val="none" w:sz="0" w:space="0" w:color="auto"/>
                <w:bottom w:val="none" w:sz="0" w:space="0" w:color="auto"/>
                <w:right w:val="none" w:sz="0" w:space="0" w:color="auto"/>
              </w:divBdr>
              <w:divsChild>
                <w:div w:id="6855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8091">
      <w:bodyDiv w:val="1"/>
      <w:marLeft w:val="0"/>
      <w:marRight w:val="0"/>
      <w:marTop w:val="0"/>
      <w:marBottom w:val="0"/>
      <w:divBdr>
        <w:top w:val="none" w:sz="0" w:space="0" w:color="auto"/>
        <w:left w:val="none" w:sz="0" w:space="0" w:color="auto"/>
        <w:bottom w:val="none" w:sz="0" w:space="0" w:color="auto"/>
        <w:right w:val="none" w:sz="0" w:space="0" w:color="auto"/>
      </w:divBdr>
      <w:divsChild>
        <w:div w:id="1816027539">
          <w:marLeft w:val="0"/>
          <w:marRight w:val="0"/>
          <w:marTop w:val="0"/>
          <w:marBottom w:val="0"/>
          <w:divBdr>
            <w:top w:val="none" w:sz="0" w:space="0" w:color="auto"/>
            <w:left w:val="none" w:sz="0" w:space="0" w:color="auto"/>
            <w:bottom w:val="none" w:sz="0" w:space="0" w:color="auto"/>
            <w:right w:val="none" w:sz="0" w:space="0" w:color="auto"/>
          </w:divBdr>
          <w:divsChild>
            <w:div w:id="2042390021">
              <w:marLeft w:val="0"/>
              <w:marRight w:val="0"/>
              <w:marTop w:val="0"/>
              <w:marBottom w:val="0"/>
              <w:divBdr>
                <w:top w:val="none" w:sz="0" w:space="0" w:color="auto"/>
                <w:left w:val="none" w:sz="0" w:space="0" w:color="auto"/>
                <w:bottom w:val="none" w:sz="0" w:space="0" w:color="auto"/>
                <w:right w:val="none" w:sz="0" w:space="0" w:color="auto"/>
              </w:divBdr>
              <w:divsChild>
                <w:div w:id="676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0490">
      <w:bodyDiv w:val="1"/>
      <w:marLeft w:val="0"/>
      <w:marRight w:val="0"/>
      <w:marTop w:val="0"/>
      <w:marBottom w:val="0"/>
      <w:divBdr>
        <w:top w:val="none" w:sz="0" w:space="0" w:color="auto"/>
        <w:left w:val="none" w:sz="0" w:space="0" w:color="auto"/>
        <w:bottom w:val="none" w:sz="0" w:space="0" w:color="auto"/>
        <w:right w:val="none" w:sz="0" w:space="0" w:color="auto"/>
      </w:divBdr>
      <w:divsChild>
        <w:div w:id="654801378">
          <w:marLeft w:val="0"/>
          <w:marRight w:val="0"/>
          <w:marTop w:val="0"/>
          <w:marBottom w:val="0"/>
          <w:divBdr>
            <w:top w:val="none" w:sz="0" w:space="0" w:color="auto"/>
            <w:left w:val="none" w:sz="0" w:space="0" w:color="auto"/>
            <w:bottom w:val="none" w:sz="0" w:space="0" w:color="auto"/>
            <w:right w:val="none" w:sz="0" w:space="0" w:color="auto"/>
          </w:divBdr>
          <w:divsChild>
            <w:div w:id="1961297791">
              <w:marLeft w:val="0"/>
              <w:marRight w:val="0"/>
              <w:marTop w:val="0"/>
              <w:marBottom w:val="0"/>
              <w:divBdr>
                <w:top w:val="none" w:sz="0" w:space="0" w:color="auto"/>
                <w:left w:val="none" w:sz="0" w:space="0" w:color="auto"/>
                <w:bottom w:val="none" w:sz="0" w:space="0" w:color="auto"/>
                <w:right w:val="none" w:sz="0" w:space="0" w:color="auto"/>
              </w:divBdr>
              <w:divsChild>
                <w:div w:id="12495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14/18-AOS1709" TargetMode="External"/><Relationship Id="rId13" Type="http://schemas.openxmlformats.org/officeDocument/2006/relationships/hyperlink" Target="https://doi.org/10.1016/j.jpubeco.2010.11.009" TargetMode="External"/><Relationship Id="rId18" Type="http://schemas.openxmlformats.org/officeDocument/2006/relationships/hyperlink" Target="https://doi.org/10.3102/0002831216667478" TargetMode="External"/><Relationship Id="rId26" Type="http://schemas.openxmlformats.org/officeDocument/2006/relationships/hyperlink" Target="https://doi.org/10.3102/0162373718819830" TargetMode="External"/><Relationship Id="rId3" Type="http://schemas.openxmlformats.org/officeDocument/2006/relationships/settings" Target="settings.xml"/><Relationship Id="rId21" Type="http://schemas.openxmlformats.org/officeDocument/2006/relationships/hyperlink" Target="https://doi.org/10.3368/jhr.52.4.1215-7585R1" TargetMode="External"/><Relationship Id="rId7" Type="http://schemas.openxmlformats.org/officeDocument/2006/relationships/hyperlink" Target="https://doi.org/10.1146/annurev-economics-080217-053433" TargetMode="External"/><Relationship Id="rId12" Type="http://schemas.openxmlformats.org/officeDocument/2006/relationships/hyperlink" Target="https://doi.org/10.1080/19345747.2012.706695" TargetMode="External"/><Relationship Id="rId17" Type="http://schemas.openxmlformats.org/officeDocument/2006/relationships/hyperlink" Target="https://doi.org/10.2307/3559005" TargetMode="External"/><Relationship Id="rId25" Type="http://schemas.openxmlformats.org/officeDocument/2006/relationships/hyperlink" Target="https://doi.org/10.1016/j.econedurev.2017.09.004" TargetMode="External"/><Relationship Id="rId2" Type="http://schemas.openxmlformats.org/officeDocument/2006/relationships/styles" Target="styles.xml"/><Relationship Id="rId16" Type="http://schemas.openxmlformats.org/officeDocument/2006/relationships/hyperlink" Target="https://doi.org/10.3102/01623737211062913" TargetMode="External"/><Relationship Id="rId20" Type="http://schemas.openxmlformats.org/officeDocument/2006/relationships/hyperlink" Target="https://doi.org/10.1162/EDFP_a_00194" TargetMode="External"/><Relationship Id="rId29" Type="http://schemas.openxmlformats.org/officeDocument/2006/relationships/hyperlink" Target="https://doi.org/10.1016/j.econedurev.2018.10.002" TargetMode="External"/><Relationship Id="rId1" Type="http://schemas.openxmlformats.org/officeDocument/2006/relationships/numbering" Target="numbering.xml"/><Relationship Id="rId6" Type="http://schemas.openxmlformats.org/officeDocument/2006/relationships/hyperlink" Target="https://doi.org/10.1086/508733" TargetMode="External"/><Relationship Id="rId11" Type="http://schemas.openxmlformats.org/officeDocument/2006/relationships/hyperlink" Target="https://doi.org/10.1086/696203" TargetMode="External"/><Relationship Id="rId24" Type="http://schemas.openxmlformats.org/officeDocument/2006/relationships/hyperlink" Target="https://doi.org/10.1257/0002828041302244"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1016/j.ecresq.2017.03.006" TargetMode="External"/><Relationship Id="rId23" Type="http://schemas.openxmlformats.org/officeDocument/2006/relationships/hyperlink" Target="https://doi.org/10.1016/j.jpubeco.2015.02.008" TargetMode="External"/><Relationship Id="rId28" Type="http://schemas.openxmlformats.org/officeDocument/2006/relationships/hyperlink" Target="https://doi.org/10.1016/j.jpubeco.2013.01.006" TargetMode="External"/><Relationship Id="rId10" Type="http://schemas.openxmlformats.org/officeDocument/2006/relationships/hyperlink" Target="http://www.jstor.org/stable/40057317" TargetMode="External"/><Relationship Id="rId19" Type="http://schemas.openxmlformats.org/officeDocument/2006/relationships/hyperlink" Target="https://doi.org/10.1016/j.econedurev.2007.05.00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econedurev.2007.10.002" TargetMode="External"/><Relationship Id="rId14" Type="http://schemas.openxmlformats.org/officeDocument/2006/relationships/hyperlink" Target="https://doi.org/10.1177/0895904818755468" TargetMode="External"/><Relationship Id="rId22" Type="http://schemas.openxmlformats.org/officeDocument/2006/relationships/hyperlink" Target="https://doi.org/10.1080/00036846.2019.1650885" TargetMode="External"/><Relationship Id="rId27" Type="http://schemas.openxmlformats.org/officeDocument/2006/relationships/hyperlink" Target="https://doi.org/10.1016/j.econedurev.2013.01.007"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41</cp:revision>
  <dcterms:created xsi:type="dcterms:W3CDTF">2022-10-03T19:44:00Z</dcterms:created>
  <dcterms:modified xsi:type="dcterms:W3CDTF">2022-10-30T07:02:00Z</dcterms:modified>
</cp:coreProperties>
</file>