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2250B" w14:textId="32995D25" w:rsidR="00CC19BF" w:rsidRDefault="00B965B5">
      <w:pPr>
        <w:spacing w:after="0"/>
        <w:jc w:val="center"/>
        <w:rPr>
          <w:rFonts w:ascii="Arial" w:eastAsia="Arial" w:hAnsi="Arial" w:cs="Arial"/>
        </w:rPr>
      </w:pPr>
      <w:r>
        <w:rPr>
          <w:rFonts w:ascii="Arial" w:eastAsia="Arial" w:hAnsi="Arial" w:cs="Arial"/>
        </w:rPr>
        <w:t>HRP-050 | 03/01/202</w:t>
      </w:r>
      <w:r w:rsidR="008D5D53">
        <w:rPr>
          <w:rFonts w:ascii="Arial" w:eastAsia="Arial" w:hAnsi="Arial" w:cs="Arial"/>
        </w:rPr>
        <w:t xml:space="preserve">4 </w:t>
      </w:r>
      <w:r>
        <w:rPr>
          <w:rFonts w:ascii="Arial" w:eastAsia="Arial" w:hAnsi="Arial" w:cs="Arial"/>
        </w:rPr>
        <w:t xml:space="preserve">| Author: T. </w:t>
      </w:r>
      <w:proofErr w:type="spellStart"/>
      <w:r>
        <w:rPr>
          <w:rFonts w:ascii="Arial" w:eastAsia="Arial" w:hAnsi="Arial" w:cs="Arial"/>
        </w:rPr>
        <w:t>Bechert</w:t>
      </w:r>
      <w:proofErr w:type="spellEnd"/>
      <w:r>
        <w:rPr>
          <w:rFonts w:ascii="Arial" w:eastAsia="Arial" w:hAnsi="Arial" w:cs="Arial"/>
        </w:rPr>
        <w:t xml:space="preserve"> | Approver: S. Brooks</w:t>
      </w:r>
    </w:p>
    <w:p w14:paraId="5A53EBE3" w14:textId="77777777" w:rsidR="00CC19BF" w:rsidRDefault="00CC19BF">
      <w:pPr>
        <w:spacing w:after="0"/>
      </w:pPr>
    </w:p>
    <w:p w14:paraId="608D5BF3" w14:textId="77777777" w:rsidR="00CC19BF" w:rsidRDefault="00B965B5">
      <w:pPr>
        <w:pBdr>
          <w:top w:val="nil"/>
          <w:left w:val="nil"/>
          <w:bottom w:val="nil"/>
          <w:right w:val="nil"/>
          <w:between w:val="nil"/>
        </w:pBdr>
        <w:spacing w:line="240" w:lineRule="auto"/>
        <w:jc w:val="center"/>
        <w:rPr>
          <w:rFonts w:ascii="Arial" w:eastAsia="Arial" w:hAnsi="Arial" w:cs="Arial"/>
          <w:b/>
          <w:color w:val="000000"/>
          <w:sz w:val="32"/>
          <w:szCs w:val="32"/>
        </w:rPr>
      </w:pPr>
      <w:r>
        <w:rPr>
          <w:rFonts w:ascii="Arial" w:eastAsia="Arial" w:hAnsi="Arial" w:cs="Arial"/>
          <w:b/>
          <w:color w:val="000000"/>
          <w:sz w:val="32"/>
          <w:szCs w:val="32"/>
        </w:rPr>
        <w:t>SOP: Conflicting Interests of IRB Members</w:t>
      </w:r>
      <w:r>
        <w:rPr>
          <w:rFonts w:ascii="Arial" w:eastAsia="Arial" w:hAnsi="Arial" w:cs="Arial"/>
          <w:b/>
          <w:color w:val="000000"/>
        </w:rPr>
        <w:t xml:space="preserve"> </w:t>
      </w:r>
    </w:p>
    <w:p w14:paraId="2A0D561D" w14:textId="77777777" w:rsidR="00CC19BF" w:rsidRDefault="00CC19BF">
      <w:pPr>
        <w:pBdr>
          <w:top w:val="nil"/>
          <w:left w:val="nil"/>
          <w:bottom w:val="nil"/>
          <w:right w:val="nil"/>
          <w:between w:val="nil"/>
        </w:pBdr>
        <w:spacing w:line="240" w:lineRule="auto"/>
        <w:jc w:val="center"/>
        <w:rPr>
          <w:rFonts w:ascii="Arial" w:eastAsia="Arial" w:hAnsi="Arial" w:cs="Arial"/>
          <w:b/>
          <w:color w:val="000000"/>
          <w:sz w:val="32"/>
          <w:szCs w:val="32"/>
        </w:rPr>
      </w:pPr>
    </w:p>
    <w:p w14:paraId="5CAD7265" w14:textId="77777777" w:rsidR="00CC19BF" w:rsidRDefault="00B965B5">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PURPOSE</w:t>
      </w:r>
    </w:p>
    <w:p w14:paraId="050A810F" w14:textId="77777777" w:rsidR="00CC19BF" w:rsidRDefault="00B965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This procedure establishes the process to identify and manage </w:t>
      </w:r>
      <w:r>
        <w:rPr>
          <w:rFonts w:ascii="Arial" w:eastAsia="Arial" w:hAnsi="Arial" w:cs="Arial"/>
          <w:color w:val="000000"/>
          <w:u w:val="single"/>
        </w:rPr>
        <w:t>Conflicting Interest</w:t>
      </w:r>
      <w:r>
        <w:rPr>
          <w:rFonts w:ascii="Arial" w:eastAsia="Arial" w:hAnsi="Arial" w:cs="Arial"/>
          <w:color w:val="000000"/>
        </w:rPr>
        <w:t xml:space="preserve"> of IRB members.</w:t>
      </w:r>
    </w:p>
    <w:p w14:paraId="7F05D34B" w14:textId="77777777" w:rsidR="00CC19BF" w:rsidRDefault="00B965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process begins when an IRB member is asked to review an IRB submission.</w:t>
      </w:r>
    </w:p>
    <w:p w14:paraId="1D87E2F4" w14:textId="77777777" w:rsidR="00CC19BF" w:rsidRDefault="00B965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The process ends when an IRB member has either identified a </w:t>
      </w:r>
      <w:r>
        <w:rPr>
          <w:rFonts w:ascii="Arial" w:eastAsia="Arial" w:hAnsi="Arial" w:cs="Arial"/>
          <w:color w:val="000000"/>
          <w:u w:val="single"/>
        </w:rPr>
        <w:t>Conflicting Interest</w:t>
      </w:r>
      <w:r>
        <w:rPr>
          <w:rFonts w:ascii="Arial" w:eastAsia="Arial" w:hAnsi="Arial" w:cs="Arial"/>
          <w:color w:val="000000"/>
        </w:rPr>
        <w:t xml:space="preserve"> and notified IRB staff, or when an IRB member has determined that he or she does not have a </w:t>
      </w:r>
      <w:r>
        <w:rPr>
          <w:rFonts w:ascii="Arial" w:eastAsia="Arial" w:hAnsi="Arial" w:cs="Arial"/>
          <w:color w:val="000000"/>
          <w:u w:val="single"/>
        </w:rPr>
        <w:t>Conflicting Interest</w:t>
      </w:r>
      <w:r>
        <w:rPr>
          <w:rFonts w:ascii="Arial" w:eastAsia="Arial" w:hAnsi="Arial" w:cs="Arial"/>
          <w:color w:val="000000"/>
        </w:rPr>
        <w:t>.</w:t>
      </w:r>
    </w:p>
    <w:p w14:paraId="011A641D" w14:textId="77777777" w:rsidR="00CC19BF" w:rsidRDefault="00B965B5">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REVISIONS FROM PREVIOUS VERSION</w:t>
      </w:r>
    </w:p>
    <w:p w14:paraId="6C7F6C39" w14:textId="77777777" w:rsidR="00CC19BF" w:rsidRDefault="00B965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None</w:t>
      </w:r>
    </w:p>
    <w:p w14:paraId="6F67AFAE" w14:textId="77777777" w:rsidR="00CC19BF" w:rsidRDefault="00B965B5">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POLICY</w:t>
      </w:r>
    </w:p>
    <w:p w14:paraId="77CB9E05" w14:textId="77777777" w:rsidR="00CC19BF" w:rsidRDefault="00B965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IRB members are responsible to know the definition of </w:t>
      </w:r>
      <w:r>
        <w:rPr>
          <w:rFonts w:ascii="Arial" w:eastAsia="Arial" w:hAnsi="Arial" w:cs="Arial"/>
          <w:color w:val="000000"/>
          <w:u w:val="single"/>
        </w:rPr>
        <w:t>Conflicting Interest</w:t>
      </w:r>
      <w:r>
        <w:rPr>
          <w:rFonts w:ascii="Arial" w:eastAsia="Arial" w:hAnsi="Arial" w:cs="Arial"/>
          <w:color w:val="000000"/>
        </w:rPr>
        <w:t xml:space="preserve"> and self-identify when they have a </w:t>
      </w:r>
      <w:r>
        <w:rPr>
          <w:rFonts w:ascii="Arial" w:eastAsia="Arial" w:hAnsi="Arial" w:cs="Arial"/>
          <w:color w:val="000000"/>
          <w:u w:val="single"/>
        </w:rPr>
        <w:t>Conflicting Interest</w:t>
      </w:r>
      <w:r>
        <w:rPr>
          <w:rFonts w:ascii="Arial" w:eastAsia="Arial" w:hAnsi="Arial" w:cs="Arial"/>
          <w:color w:val="000000"/>
        </w:rPr>
        <w:t>.</w:t>
      </w:r>
    </w:p>
    <w:p w14:paraId="597A10BD" w14:textId="77777777" w:rsidR="00CC19BF" w:rsidRDefault="00B965B5">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RESPONSIBILITIES</w:t>
      </w:r>
    </w:p>
    <w:p w14:paraId="3AE1044B" w14:textId="77777777" w:rsidR="00CC19BF" w:rsidRDefault="00B965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IRB members (regular and alternate) follow these procedures.</w:t>
      </w:r>
    </w:p>
    <w:p w14:paraId="656E7EB8" w14:textId="77777777" w:rsidR="00CC19BF" w:rsidRDefault="00B965B5">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PROCEDURE</w:t>
      </w:r>
    </w:p>
    <w:p w14:paraId="5B005200" w14:textId="77777777" w:rsidR="00CC19BF" w:rsidRDefault="00B965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Before reviewing research, IRB members are to determine whether they have a </w:t>
      </w:r>
      <w:r>
        <w:rPr>
          <w:rFonts w:ascii="Arial" w:eastAsia="Arial" w:hAnsi="Arial" w:cs="Arial"/>
          <w:color w:val="000000"/>
          <w:u w:val="single"/>
        </w:rPr>
        <w:t>Conflicting Interest</w:t>
      </w:r>
      <w:r>
        <w:rPr>
          <w:rFonts w:ascii="Arial" w:eastAsia="Arial" w:hAnsi="Arial" w:cs="Arial"/>
          <w:color w:val="000000"/>
        </w:rPr>
        <w:t xml:space="preserve"> with research.</w:t>
      </w:r>
    </w:p>
    <w:p w14:paraId="3656BF30" w14:textId="77777777" w:rsidR="00CC19BF" w:rsidRDefault="00B965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If an IRB member has a </w:t>
      </w:r>
      <w:r>
        <w:rPr>
          <w:rFonts w:ascii="Arial" w:eastAsia="Arial" w:hAnsi="Arial" w:cs="Arial"/>
          <w:color w:val="000000"/>
          <w:u w:val="single"/>
        </w:rPr>
        <w:t>Conflicting Interest</w:t>
      </w:r>
      <w:r>
        <w:rPr>
          <w:rFonts w:ascii="Arial" w:eastAsia="Arial" w:hAnsi="Arial" w:cs="Arial"/>
          <w:color w:val="000000"/>
        </w:rPr>
        <w:t xml:space="preserve"> for review outside a meeting (e.g., the expedited procedure), he or she is to notify the IRB staff and return all materials.</w:t>
      </w:r>
    </w:p>
    <w:p w14:paraId="38F17193" w14:textId="77777777" w:rsidR="00CC19BF" w:rsidRDefault="00B965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If an IRB member has a </w:t>
      </w:r>
      <w:r>
        <w:rPr>
          <w:rFonts w:ascii="Arial" w:eastAsia="Arial" w:hAnsi="Arial" w:cs="Arial"/>
          <w:color w:val="000000"/>
          <w:u w:val="single"/>
        </w:rPr>
        <w:t>Conflicting Interest</w:t>
      </w:r>
      <w:r>
        <w:rPr>
          <w:rFonts w:ascii="Arial" w:eastAsia="Arial" w:hAnsi="Arial" w:cs="Arial"/>
          <w:color w:val="000000"/>
        </w:rPr>
        <w:t xml:space="preserve"> for review of a submission for which he or she has been assigned as a primary or scientific reviewer, he or she is to notify the IRB staff so the submission can be re-assigned.</w:t>
      </w:r>
    </w:p>
    <w:p w14:paraId="219EE5C7" w14:textId="77777777" w:rsidR="00CC19BF" w:rsidRDefault="00B965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If an IRB member has a </w:t>
      </w:r>
      <w:r>
        <w:rPr>
          <w:rFonts w:ascii="Arial" w:eastAsia="Arial" w:hAnsi="Arial" w:cs="Arial"/>
          <w:color w:val="000000"/>
          <w:u w:val="single"/>
        </w:rPr>
        <w:t>Conflicting Interest</w:t>
      </w:r>
      <w:r>
        <w:rPr>
          <w:rFonts w:ascii="Arial" w:eastAsia="Arial" w:hAnsi="Arial" w:cs="Arial"/>
          <w:color w:val="000000"/>
        </w:rPr>
        <w:t xml:space="preserve"> for review of research at a meeting, he or she is to notify the meeting chair, stay in the meeting room only to answer questions about the research, and to leave the meeting room for discussion and voting regarding that research.</w:t>
      </w:r>
    </w:p>
    <w:p w14:paraId="67E1C0CF" w14:textId="77777777" w:rsidR="00CC19BF" w:rsidRDefault="00B965B5">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MATERIALS</w:t>
      </w:r>
    </w:p>
    <w:p w14:paraId="5AAEA3E8" w14:textId="77777777" w:rsidR="00CC19BF" w:rsidRDefault="00B965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None</w:t>
      </w:r>
    </w:p>
    <w:p w14:paraId="78D2EBE5" w14:textId="77777777" w:rsidR="00CC19BF" w:rsidRDefault="00B965B5">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REFERENCES</w:t>
      </w:r>
    </w:p>
    <w:p w14:paraId="4EB0B09E" w14:textId="77777777" w:rsidR="00CC19BF" w:rsidRDefault="00B965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21 CFR §56.107(e).</w:t>
      </w:r>
    </w:p>
    <w:p w14:paraId="6B74841F" w14:textId="77777777" w:rsidR="00CC19BF" w:rsidRDefault="00B965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45 CFR §46.107(e).</w:t>
      </w:r>
    </w:p>
    <w:p w14:paraId="6FFD9A96" w14:textId="77777777" w:rsidR="00CC19BF" w:rsidRDefault="00B965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AAHRPP elements I-9, II.1.D</w:t>
      </w:r>
    </w:p>
    <w:sectPr w:rsidR="00CC19BF">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FCC6E" w14:textId="77777777" w:rsidR="00C86C62" w:rsidRDefault="00C86C62">
      <w:pPr>
        <w:spacing w:after="0" w:line="240" w:lineRule="auto"/>
      </w:pPr>
      <w:r>
        <w:separator/>
      </w:r>
    </w:p>
  </w:endnote>
  <w:endnote w:type="continuationSeparator" w:id="0">
    <w:p w14:paraId="227A0432" w14:textId="77777777" w:rsidR="00C86C62" w:rsidRDefault="00C86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3A011" w14:textId="77777777" w:rsidR="00861AF4" w:rsidRDefault="00861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252AC" w14:textId="77777777" w:rsidR="00CC19BF" w:rsidRDefault="00B965B5">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sidR="00000000">
      <w:rPr>
        <w:b/>
        <w:color w:val="000000"/>
      </w:rPr>
      <w:fldChar w:fldCharType="separate"/>
    </w:r>
    <w:r>
      <w:rPr>
        <w:b/>
        <w:color w:val="000000"/>
      </w:rPr>
      <w:fldChar w:fldCharType="end"/>
    </w:r>
    <w:r>
      <w:rPr>
        <w:color w:val="000000"/>
      </w:rPr>
      <w:t xml:space="preserve"> of </w:t>
    </w:r>
    <w:r>
      <w:rPr>
        <w:b/>
        <w:color w:val="000000"/>
      </w:rPr>
      <w:fldChar w:fldCharType="begin"/>
    </w:r>
    <w:r>
      <w:rPr>
        <w:b/>
        <w:color w:val="000000"/>
      </w:rPr>
      <w:instrText>NUMPAGES</w:instrText>
    </w:r>
    <w:r w:rsidR="00000000">
      <w:rPr>
        <w:b/>
        <w:color w:val="000000"/>
      </w:rPr>
      <w:fldChar w:fldCharType="separate"/>
    </w:r>
    <w:r>
      <w:rPr>
        <w:b/>
        <w:color w:val="000000"/>
      </w:rPr>
      <w:fldChar w:fldCharType="end"/>
    </w:r>
  </w:p>
  <w:p w14:paraId="18BA70D8" w14:textId="77777777" w:rsidR="00CC19BF" w:rsidRDefault="00B965B5">
    <w:pPr>
      <w:pBdr>
        <w:top w:val="nil"/>
        <w:left w:val="nil"/>
        <w:bottom w:val="nil"/>
        <w:right w:val="nil"/>
        <w:between w:val="nil"/>
      </w:pBdr>
      <w:tabs>
        <w:tab w:val="center" w:pos="4680"/>
        <w:tab w:val="right" w:pos="9360"/>
      </w:tabs>
      <w:spacing w:after="0" w:line="240" w:lineRule="auto"/>
      <w:jc w:val="center"/>
      <w:rPr>
        <w:rFonts w:ascii="Montserrat" w:eastAsia="Montserrat" w:hAnsi="Montserrat" w:cs="Montserrat"/>
        <w:b/>
        <w:color w:val="717275"/>
        <w:sz w:val="18"/>
        <w:szCs w:val="18"/>
      </w:rPr>
    </w:pPr>
    <w:r>
      <w:rPr>
        <w:rFonts w:ascii="Montserrat" w:eastAsia="Montserrat" w:hAnsi="Montserrat" w:cs="Montserrat"/>
        <w:b/>
        <w:color w:val="717275"/>
        <w:sz w:val="18"/>
        <w:szCs w:val="18"/>
      </w:rPr>
      <w:t>Huron HRPP Toolkit 5.0</w:t>
    </w:r>
  </w:p>
  <w:p w14:paraId="4387D893" w14:textId="77777777" w:rsidR="00CC19BF" w:rsidRDefault="00B965B5">
    <w:pPr>
      <w:pBdr>
        <w:top w:val="nil"/>
        <w:left w:val="nil"/>
        <w:bottom w:val="nil"/>
        <w:right w:val="nil"/>
        <w:between w:val="nil"/>
      </w:pBdr>
      <w:tabs>
        <w:tab w:val="center" w:pos="4680"/>
        <w:tab w:val="right" w:pos="9360"/>
      </w:tabs>
      <w:spacing w:after="0" w:line="240" w:lineRule="auto"/>
      <w:jc w:val="center"/>
      <w:rPr>
        <w:rFonts w:ascii="Montserrat" w:eastAsia="Montserrat" w:hAnsi="Montserrat" w:cs="Montserrat"/>
        <w:color w:val="717275"/>
        <w:sz w:val="18"/>
        <w:szCs w:val="18"/>
      </w:rPr>
    </w:pPr>
    <w:r>
      <w:rPr>
        <w:rFonts w:ascii="Montserrat" w:eastAsia="Montserrat" w:hAnsi="Montserrat" w:cs="Montserrat"/>
        <w:color w:val="717275"/>
        <w:sz w:val="18"/>
        <w:szCs w:val="18"/>
      </w:rPr>
      <w:t>© 2009-2022 Huron Consulting Group Inc. and affiliates.</w:t>
    </w:r>
  </w:p>
  <w:p w14:paraId="4D8C4B87" w14:textId="77777777" w:rsidR="00CC19BF" w:rsidRDefault="00B965B5">
    <w:pPr>
      <w:pBdr>
        <w:top w:val="nil"/>
        <w:left w:val="nil"/>
        <w:bottom w:val="nil"/>
        <w:right w:val="nil"/>
        <w:between w:val="nil"/>
      </w:pBdr>
      <w:tabs>
        <w:tab w:val="center" w:pos="4680"/>
        <w:tab w:val="right" w:pos="9360"/>
      </w:tabs>
      <w:spacing w:after="0" w:line="240" w:lineRule="auto"/>
      <w:jc w:val="center"/>
      <w:rPr>
        <w:color w:val="000000"/>
      </w:rPr>
    </w:pPr>
    <w:r>
      <w:rPr>
        <w:rFonts w:ascii="Montserrat" w:eastAsia="Montserrat" w:hAnsi="Montserrat" w:cs="Montserrat"/>
        <w:color w:val="717275"/>
        <w:sz w:val="18"/>
        <w:szCs w:val="18"/>
      </w:rPr>
      <w:t xml:space="preserve">Use subject to Huron’s Toolkit terms and </w:t>
    </w:r>
    <w:proofErr w:type="gramStart"/>
    <w:r>
      <w:rPr>
        <w:rFonts w:ascii="Montserrat" w:eastAsia="Montserrat" w:hAnsi="Montserrat" w:cs="Montserrat"/>
        <w:color w:val="717275"/>
        <w:sz w:val="18"/>
        <w:szCs w:val="18"/>
      </w:rPr>
      <w:t>conditions</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E4786" w14:textId="77777777" w:rsidR="00CC19BF" w:rsidRDefault="00B965B5">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1</w:t>
    </w:r>
    <w:r>
      <w:rPr>
        <w:b/>
        <w:color w:val="000000"/>
      </w:rPr>
      <w:fldChar w:fldCharType="end"/>
    </w:r>
  </w:p>
  <w:p w14:paraId="106AC30A" w14:textId="77777777" w:rsidR="00CC19BF" w:rsidRDefault="00CC19BF">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F176F" w14:textId="77777777" w:rsidR="00C86C62" w:rsidRDefault="00C86C62">
      <w:pPr>
        <w:spacing w:after="0" w:line="240" w:lineRule="auto"/>
      </w:pPr>
      <w:r>
        <w:separator/>
      </w:r>
    </w:p>
  </w:footnote>
  <w:footnote w:type="continuationSeparator" w:id="0">
    <w:p w14:paraId="61C35B38" w14:textId="77777777" w:rsidR="00C86C62" w:rsidRDefault="00C86C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16993" w14:textId="77777777" w:rsidR="00861AF4" w:rsidRDefault="00861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C949E" w14:textId="77777777" w:rsidR="00CC19BF" w:rsidRDefault="00B965B5">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50AD8CF3" wp14:editId="2D051F25">
          <wp:extent cx="1627067" cy="515620"/>
          <wp:effectExtent l="0" t="0" r="0" b="0"/>
          <wp:docPr id="10" name="image1.jpg" descr="A blue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jpg" descr="A blue and white logo&#10;&#10;Description automatically generated with low confidence"/>
                  <pic:cNvPicPr preferRelativeResize="0"/>
                </pic:nvPicPr>
                <pic:blipFill>
                  <a:blip r:embed="rId1"/>
                  <a:srcRect/>
                  <a:stretch>
                    <a:fillRect/>
                  </a:stretch>
                </pic:blipFill>
                <pic:spPr>
                  <a:xfrm>
                    <a:off x="0" y="0"/>
                    <a:ext cx="1627067" cy="515620"/>
                  </a:xfrm>
                  <a:prstGeom prst="rect">
                    <a:avLst/>
                  </a:prstGeom>
                  <a:ln/>
                </pic:spPr>
              </pic:pic>
            </a:graphicData>
          </a:graphic>
        </wp:inline>
      </w:drawing>
    </w:r>
  </w:p>
  <w:p w14:paraId="621E4731" w14:textId="77777777" w:rsidR="00CC19BF" w:rsidRDefault="00CC19BF">
    <w:pPr>
      <w:pBdr>
        <w:top w:val="nil"/>
        <w:left w:val="nil"/>
        <w:bottom w:val="nil"/>
        <w:right w:val="nil"/>
        <w:between w:val="nil"/>
      </w:pBdr>
      <w:tabs>
        <w:tab w:val="center" w:pos="4680"/>
        <w:tab w:val="right" w:pos="9360"/>
      </w:tabs>
      <w:spacing w:after="0" w:line="240" w:lineRule="auto"/>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5B290" w14:textId="77777777" w:rsidR="00CC19BF" w:rsidRDefault="00B965B5">
    <w:pPr>
      <w:tabs>
        <w:tab w:val="center" w:pos="4680"/>
        <w:tab w:val="right" w:pos="9360"/>
      </w:tabs>
      <w:spacing w:after="0" w:line="240" w:lineRule="auto"/>
      <w:jc w:val="center"/>
      <w:rPr>
        <w:color w:val="000000"/>
      </w:rPr>
    </w:pPr>
    <w:r>
      <w:rPr>
        <w:noProof/>
      </w:rPr>
      <w:drawing>
        <wp:inline distT="0" distB="0" distL="0" distR="0" wp14:anchorId="38889241" wp14:editId="1C72B149">
          <wp:extent cx="3257378" cy="402263"/>
          <wp:effectExtent l="0" t="0" r="635" b="0"/>
          <wp:docPr id="9" name="image2.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9" name="image2.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p w14:paraId="1A3014B5" w14:textId="77777777" w:rsidR="00CC19BF" w:rsidRDefault="00CC19BF">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059"/>
    <w:multiLevelType w:val="multilevel"/>
    <w:tmpl w:val="BB58B76C"/>
    <w:lvl w:ilvl="0">
      <w:start w:val="1"/>
      <w:numFmt w:val="decimal"/>
      <w:lvlText w:val="%1"/>
      <w:lvlJc w:val="left"/>
      <w:pPr>
        <w:ind w:left="360" w:hanging="360"/>
      </w:pPr>
    </w:lvl>
    <w:lvl w:ilvl="1">
      <w:start w:val="1"/>
      <w:numFmt w:val="decimal"/>
      <w:lvlText w:val="%1.%2"/>
      <w:lvlJc w:val="left"/>
      <w:pPr>
        <w:ind w:left="576" w:hanging="216"/>
      </w:pPr>
      <w:rPr>
        <w:b w:val="0"/>
        <w:i w:val="0"/>
        <w:sz w:val="22"/>
        <w:szCs w:val="22"/>
      </w:rPr>
    </w:lvl>
    <w:lvl w:ilvl="2">
      <w:start w:val="1"/>
      <w:numFmt w:val="decimal"/>
      <w:lvlText w:val="%1.%2.%3"/>
      <w:lvlJc w:val="left"/>
      <w:pPr>
        <w:ind w:left="1206" w:firstLine="144"/>
      </w:pPr>
      <w:rPr>
        <w:b w:val="0"/>
        <w:i w:val="0"/>
        <w:sz w:val="22"/>
        <w:szCs w:val="22"/>
      </w:rPr>
    </w:lvl>
    <w:lvl w:ilvl="3">
      <w:start w:val="1"/>
      <w:numFmt w:val="decimal"/>
      <w:lvlText w:val="%1.%2.%3.%4"/>
      <w:lvlJc w:val="left"/>
      <w:pPr>
        <w:ind w:left="1008" w:firstLine="720"/>
      </w:pPr>
      <w:rPr>
        <w:b w:val="0"/>
        <w:i w:val="0"/>
        <w:strike w:val="0"/>
        <w:sz w:val="22"/>
        <w:szCs w:val="22"/>
        <w:vertAlign w:val="baseline"/>
      </w:rPr>
    </w:lvl>
    <w:lvl w:ilvl="4">
      <w:start w:val="1"/>
      <w:numFmt w:val="decimal"/>
      <w:lvlText w:val="%1.%2.%3.%4.%5"/>
      <w:lvlJc w:val="left"/>
      <w:pPr>
        <w:ind w:left="1224" w:firstLine="1512"/>
      </w:pPr>
    </w:lvl>
    <w:lvl w:ilvl="5">
      <w:start w:val="1"/>
      <w:numFmt w:val="decimal"/>
      <w:lvlText w:val="%1.%2.%3.%4.%5.%6"/>
      <w:lvlJc w:val="left"/>
      <w:pPr>
        <w:ind w:left="1440" w:firstLine="2520"/>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7480684"/>
    <w:multiLevelType w:val="multilevel"/>
    <w:tmpl w:val="6120A6D0"/>
    <w:lvl w:ilvl="0">
      <w:start w:val="1"/>
      <w:numFmt w:val="decimal"/>
      <w:pStyle w:val="SOPLevel1"/>
      <w:lvlText w:val="%1."/>
      <w:lvlJc w:val="left"/>
      <w:pPr>
        <w:tabs>
          <w:tab w:val="num" w:pos="720"/>
        </w:tabs>
        <w:ind w:left="720" w:hanging="720"/>
      </w:pPr>
    </w:lvl>
    <w:lvl w:ilvl="1">
      <w:start w:val="1"/>
      <w:numFmt w:val="decimal"/>
      <w:pStyle w:val="SOPLevel2"/>
      <w:lvlText w:val="%2."/>
      <w:lvlJc w:val="left"/>
      <w:pPr>
        <w:tabs>
          <w:tab w:val="num" w:pos="1440"/>
        </w:tabs>
        <w:ind w:left="1440" w:hanging="720"/>
      </w:pPr>
    </w:lvl>
    <w:lvl w:ilvl="2">
      <w:start w:val="1"/>
      <w:numFmt w:val="decimal"/>
      <w:pStyle w:val="SOPLevel3"/>
      <w:lvlText w:val="%3."/>
      <w:lvlJc w:val="left"/>
      <w:pPr>
        <w:tabs>
          <w:tab w:val="num" w:pos="2160"/>
        </w:tabs>
        <w:ind w:left="2160" w:hanging="720"/>
      </w:pPr>
    </w:lvl>
    <w:lvl w:ilvl="3">
      <w:start w:val="1"/>
      <w:numFmt w:val="decimal"/>
      <w:pStyle w:val="SOPLevel4"/>
      <w:lvlText w:val="%4."/>
      <w:lvlJc w:val="left"/>
      <w:pPr>
        <w:tabs>
          <w:tab w:val="num" w:pos="2880"/>
        </w:tabs>
        <w:ind w:left="2880" w:hanging="720"/>
      </w:pPr>
    </w:lvl>
    <w:lvl w:ilvl="4">
      <w:start w:val="1"/>
      <w:numFmt w:val="decimal"/>
      <w:pStyle w:val="SOPLevel5"/>
      <w:lvlText w:val="%5."/>
      <w:lvlJc w:val="left"/>
      <w:pPr>
        <w:tabs>
          <w:tab w:val="num" w:pos="3600"/>
        </w:tabs>
        <w:ind w:left="3600" w:hanging="720"/>
      </w:pPr>
    </w:lvl>
    <w:lvl w:ilvl="5">
      <w:start w:val="1"/>
      <w:numFmt w:val="decimal"/>
      <w:pStyle w:val="SOPLevel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43289153">
    <w:abstractNumId w:val="0"/>
  </w:num>
  <w:num w:numId="2" w16cid:durableId="343047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9BF"/>
    <w:rsid w:val="00861AF4"/>
    <w:rsid w:val="008D5D53"/>
    <w:rsid w:val="00B965B5"/>
    <w:rsid w:val="00C86C62"/>
    <w:rsid w:val="00CC1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4A964"/>
  <w15:docId w15:val="{2B1FED2B-070F-48D3-9F2D-D29EB9A0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paragraph" w:customStyle="1" w:styleId="SOPLevel1">
    <w:name w:val="SOP Level 1"/>
    <w:basedOn w:val="Normal"/>
    <w:pPr>
      <w:numPr>
        <w:numId w:val="2"/>
      </w:numPr>
      <w:spacing w:before="40" w:after="40" w:line="240" w:lineRule="auto"/>
    </w:pPr>
    <w:rPr>
      <w:rFonts w:ascii="Arial" w:eastAsia="Times New Roman" w:hAnsi="Arial" w:cs="Tahoma"/>
      <w:b/>
      <w:sz w:val="20"/>
      <w:szCs w:val="24"/>
    </w:rPr>
  </w:style>
  <w:style w:type="paragraph" w:customStyle="1" w:styleId="SOPLevel2">
    <w:name w:val="SOP Level 2"/>
    <w:basedOn w:val="SOPLevel1"/>
    <w:pPr>
      <w:numPr>
        <w:ilvl w:val="1"/>
      </w:numPr>
      <w:spacing w:before="20" w:after="20"/>
      <w:ind w:left="936" w:hanging="576"/>
    </w:pPr>
    <w:rPr>
      <w:b w:val="0"/>
    </w:rPr>
  </w:style>
  <w:style w:type="paragraph" w:customStyle="1" w:styleId="SOPLevel3">
    <w:name w:val="SOP Level 3"/>
    <w:basedOn w:val="SOPLevel2"/>
    <w:pPr>
      <w:numPr>
        <w:ilvl w:val="2"/>
      </w:numPr>
      <w:tabs>
        <w:tab w:val="clear" w:pos="2160"/>
        <w:tab w:val="num" w:pos="1728"/>
      </w:tabs>
      <w:ind w:left="1728" w:hanging="792"/>
    </w:pPr>
  </w:style>
  <w:style w:type="paragraph" w:customStyle="1" w:styleId="SOPLevel4">
    <w:name w:val="SOP Level 4"/>
    <w:basedOn w:val="SOPLevel3"/>
    <w:pPr>
      <w:numPr>
        <w:ilvl w:val="3"/>
      </w:numPr>
      <w:ind w:left="2736" w:hanging="1008"/>
    </w:pPr>
  </w:style>
  <w:style w:type="paragraph" w:customStyle="1" w:styleId="SOPLevel5">
    <w:name w:val="SOP Level 5"/>
    <w:basedOn w:val="SOPLevel4"/>
    <w:pPr>
      <w:numPr>
        <w:ilvl w:val="4"/>
      </w:numPr>
      <w:ind w:left="3960" w:hanging="1224"/>
    </w:pPr>
  </w:style>
  <w:style w:type="paragraph" w:customStyle="1" w:styleId="SOPLevel6">
    <w:name w:val="SOP Level 6"/>
    <w:basedOn w:val="SOPLevel5"/>
    <w:pPr>
      <w:numPr>
        <w:ilvl w:val="5"/>
      </w:numPr>
      <w:ind w:left="5400" w:hanging="1440"/>
    </w:pPr>
  </w:style>
  <w:style w:type="character" w:styleId="PlaceholderText">
    <w:name w:val="Placeholder Text"/>
    <w:basedOn w:val="DefaultParagraphFont"/>
    <w:uiPriority w:val="99"/>
    <w:semiHidden/>
    <w:rPr>
      <w:color w:val="808080"/>
    </w:rPr>
  </w:style>
  <w:style w:type="character" w:styleId="Mention">
    <w:name w:val="Mention"/>
    <w:basedOn w:val="DefaultParagraphFont"/>
    <w:uiPriority w:val="99"/>
    <w:unhideWhenUsed/>
    <w:rPr>
      <w:color w:val="2B579A"/>
      <w:shd w:val="clear" w:color="auto" w:fill="E1DFDD"/>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CZtleMBuSn6UBs78YZkpnR+d4A==">CgMxLjA4AGonChRzdWdnZXN0LnNmZWpibWpmODdxOBIPTWFkZWxlbmEgRWlmZXJ0ciExaGR4M1AwZ3c5cmd0WnlNUG1sX2g3Y2hIVEFxb0JlMV8=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241</Words>
  <Characters>1378</Characters>
  <Application>Microsoft Office Word</Application>
  <DocSecurity>0</DocSecurity>
  <Lines>11</Lines>
  <Paragraphs>3</Paragraphs>
  <ScaleCrop>false</ScaleCrop>
  <Company>Huron</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2024-03-26T16:09:00Z</dcterms:created>
  <dcterms:modified xsi:type="dcterms:W3CDTF">2024-03-26T16:09:00Z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