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565" w14:textId="2F836D94" w:rsidR="00A27CB7" w:rsidRDefault="00AD7F55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HRP-082 | </w:t>
      </w:r>
      <w:r w:rsidR="00DB445B">
        <w:rPr>
          <w:rFonts w:ascii="Arial" w:eastAsia="Arial" w:hAnsi="Arial" w:cs="Arial"/>
        </w:rPr>
        <w:t>02</w:t>
      </w:r>
      <w:r>
        <w:rPr>
          <w:rFonts w:ascii="Arial" w:eastAsia="Arial" w:hAnsi="Arial" w:cs="Arial"/>
        </w:rPr>
        <w:t>/</w:t>
      </w:r>
      <w:r w:rsidR="00DB445B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1/202</w:t>
      </w:r>
      <w:r w:rsidR="00DB445B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0A737566" w14:textId="77777777" w:rsidR="00A27CB7" w:rsidRDefault="00A27CB7">
      <w:pPr>
        <w:spacing w:after="0"/>
      </w:pPr>
    </w:p>
    <w:p w14:paraId="0A737567" w14:textId="77777777" w:rsidR="00A27CB7" w:rsidRDefault="00AD7F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Membership Appointment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A737568" w14:textId="77777777" w:rsidR="00A27CB7" w:rsidRDefault="00A27C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A737569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0A73756A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appoint and re-appoint an IRB member.</w:t>
      </w:r>
    </w:p>
    <w:p w14:paraId="0A73756B" w14:textId="29900DDC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an individual expresses interest, is nominated or applies to join the IRB in consultation with the </w:t>
      </w:r>
      <w:r>
        <w:rPr>
          <w:rFonts w:ascii="Arial" w:eastAsia="Arial" w:hAnsi="Arial" w:cs="Arial"/>
          <w:color w:val="000000"/>
          <w:u w:val="single"/>
        </w:rPr>
        <w:t>Institutional Official/ Deputy Institutional</w:t>
      </w:r>
      <w:r w:rsidR="00DB445B">
        <w:rPr>
          <w:rFonts w:ascii="Arial" w:eastAsia="Arial" w:hAnsi="Arial" w:cs="Arial"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  <w:u w:val="single"/>
        </w:rPr>
        <w:t>Official (IO/DIO)</w:t>
      </w:r>
      <w:r>
        <w:rPr>
          <w:rFonts w:ascii="Arial" w:eastAsia="Arial" w:hAnsi="Arial" w:cs="Arial"/>
          <w:color w:val="000000"/>
        </w:rPr>
        <w:t xml:space="preserve"> (this may be a completely new IRB member, or re-appointment of a previous member).</w:t>
      </w:r>
    </w:p>
    <w:p w14:paraId="0A73756C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IRB roster is </w:t>
      </w:r>
      <w:proofErr w:type="gramStart"/>
      <w:r>
        <w:rPr>
          <w:rFonts w:ascii="Arial" w:eastAsia="Arial" w:hAnsi="Arial" w:cs="Arial"/>
          <w:color w:val="000000"/>
        </w:rPr>
        <w:t>updated</w:t>
      </w:r>
      <w:proofErr w:type="gramEnd"/>
      <w:r>
        <w:rPr>
          <w:rFonts w:ascii="Arial" w:eastAsia="Arial" w:hAnsi="Arial" w:cs="Arial"/>
          <w:color w:val="000000"/>
        </w:rPr>
        <w:t xml:space="preserve"> and the new member has completed training.</w:t>
      </w:r>
    </w:p>
    <w:p w14:paraId="0A73756D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0A73756E" w14:textId="600F9870" w:rsidR="00A27CB7" w:rsidRDefault="00164A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Added</w:t>
      </w:r>
      <w:r w:rsidR="00453C54">
        <w:rPr>
          <w:rFonts w:ascii="Arial" w:eastAsia="Arial" w:hAnsi="Arial" w:cs="Arial"/>
          <w:color w:val="000000"/>
        </w:rPr>
        <w:t xml:space="preserve"> </w:t>
      </w:r>
      <w:r w:rsidR="0000593F">
        <w:rPr>
          <w:rFonts w:ascii="Arial" w:eastAsia="Arial" w:hAnsi="Arial" w:cs="Arial"/>
          <w:color w:val="000000"/>
        </w:rPr>
        <w:t xml:space="preserve">online </w:t>
      </w:r>
      <w:r w:rsidR="00453C54">
        <w:rPr>
          <w:rFonts w:ascii="Arial" w:eastAsia="Arial" w:hAnsi="Arial" w:cs="Arial"/>
          <w:color w:val="000000"/>
        </w:rPr>
        <w:t>IRB</w:t>
      </w:r>
      <w:r w:rsidR="0000593F">
        <w:rPr>
          <w:rFonts w:ascii="Arial" w:eastAsia="Arial" w:hAnsi="Arial" w:cs="Arial"/>
          <w:color w:val="000000"/>
        </w:rPr>
        <w:t xml:space="preserve"> </w:t>
      </w:r>
      <w:r w:rsidR="00453C54">
        <w:rPr>
          <w:rFonts w:ascii="Arial" w:eastAsia="Arial" w:hAnsi="Arial" w:cs="Arial"/>
          <w:color w:val="000000"/>
        </w:rPr>
        <w:t>nomination process; 2/1/24.</w:t>
      </w:r>
    </w:p>
    <w:p w14:paraId="0A73756F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0A737570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14:paraId="0A737571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members /alternates are appointed for a three-year term. Members/alternates are eligible for re-appointment at the end of their term.</w:t>
      </w:r>
    </w:p>
    <w:p w14:paraId="10E34BA3" w14:textId="18B486A4" w:rsidR="00D9088E" w:rsidRPr="00D9088E" w:rsidRDefault="00D9088E" w:rsidP="00D908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Nominations to serve as an IRB member may be submitted directly to the HRPP or via the IRB Nomination Form hosted on the VCU HRPP website.</w:t>
      </w:r>
    </w:p>
    <w:p w14:paraId="0A737572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0A737573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4.1</w:t>
      </w:r>
      <w:r>
        <w:rPr>
          <w:rFonts w:ascii="Arial" w:eastAsia="Arial" w:hAnsi="Arial" w:cs="Arial"/>
          <w:color w:val="000000"/>
        </w:rPr>
        <w:tab/>
        <w:t>IRB staff members carry out these procedures.</w:t>
      </w:r>
    </w:p>
    <w:p w14:paraId="0A737574" w14:textId="30FFFFB4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4.2</w:t>
      </w:r>
      <w:r>
        <w:rPr>
          <w:rFonts w:ascii="Arial" w:eastAsia="Arial" w:hAnsi="Arial" w:cs="Arial"/>
          <w:color w:val="000000"/>
        </w:rPr>
        <w:tab/>
        <w:t xml:space="preserve">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appoints/re-appoints IRB members, alternate members, IRB chairs, and if used, other officers (e.g., vice chairs).</w:t>
      </w:r>
    </w:p>
    <w:p w14:paraId="0A737575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41B127BA" w14:textId="2B00712E" w:rsidR="00DE601A" w:rsidRPr="00DE601A" w:rsidRDefault="00836DC1" w:rsidP="00DE60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Communicate nominations </w:t>
      </w:r>
      <w:r w:rsidR="00D9088E">
        <w:rPr>
          <w:rFonts w:ascii="Arial" w:eastAsia="Arial" w:hAnsi="Arial" w:cs="Arial"/>
          <w:color w:val="000000"/>
        </w:rPr>
        <w:t xml:space="preserve">received </w:t>
      </w:r>
      <w:r w:rsidR="00453C54">
        <w:rPr>
          <w:rFonts w:ascii="Arial" w:eastAsia="Arial" w:hAnsi="Arial" w:cs="Arial"/>
          <w:color w:val="000000"/>
        </w:rPr>
        <w:t>via the</w:t>
      </w:r>
      <w:r>
        <w:rPr>
          <w:rFonts w:ascii="Arial" w:eastAsia="Arial" w:hAnsi="Arial" w:cs="Arial"/>
          <w:color w:val="000000"/>
        </w:rPr>
        <w:t xml:space="preserve"> online</w:t>
      </w:r>
      <w:r w:rsidR="00453C54">
        <w:rPr>
          <w:rFonts w:ascii="Arial" w:eastAsia="Arial" w:hAnsi="Arial" w:cs="Arial"/>
          <w:color w:val="000000"/>
        </w:rPr>
        <w:t xml:space="preserve"> IRB Nomination Form</w:t>
      </w:r>
      <w:r w:rsidR="00AB3EB5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to OVPRI</w:t>
      </w:r>
      <w:r w:rsidR="00D27306">
        <w:rPr>
          <w:rFonts w:ascii="Arial" w:eastAsia="Arial" w:hAnsi="Arial" w:cs="Arial"/>
          <w:color w:val="000000"/>
        </w:rPr>
        <w:t xml:space="preserve"> for further evaluation.</w:t>
      </w:r>
    </w:p>
    <w:p w14:paraId="0A737576" w14:textId="644FE8C3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Have the individual complete HRP-202 - FORM - IRB Member Information.</w:t>
      </w:r>
    </w:p>
    <w:p w14:paraId="0A737577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Obtain a copy of the individual’s résumé or curriculum vita.</w:t>
      </w:r>
    </w:p>
    <w:p w14:paraId="0A737578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 the information in the completed HRP-202 - FORM - IRB Member Information and the individual’s résumé or curriculum vita to determine if the individual qualifies as a scientist or nonscientist, and if they are affiliated or unaffiliated. </w:t>
      </w:r>
    </w:p>
    <w:p w14:paraId="0A737579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 the individual to assess suitability and availability.</w:t>
      </w:r>
    </w:p>
    <w:p w14:paraId="0A73757A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Determine from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whether the individual will be a regular IRB member, alternate IRB member, or IRB chair. </w:t>
      </w:r>
    </w:p>
    <w:p w14:paraId="0A73757B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any instance for which the scientific or non-scientific status or affiliation status of a newly appointed or re-appointed IRB member may be questionable, the </w:t>
      </w:r>
      <w:r>
        <w:rPr>
          <w:rFonts w:ascii="Arial" w:eastAsia="Arial" w:hAnsi="Arial" w:cs="Arial"/>
          <w:color w:val="000000"/>
          <w:u w:val="single"/>
        </w:rPr>
        <w:t>IO/OO</w:t>
      </w:r>
      <w:r>
        <w:rPr>
          <w:rFonts w:ascii="Arial" w:eastAsia="Arial" w:hAnsi="Arial" w:cs="Arial"/>
          <w:color w:val="000000"/>
        </w:rPr>
        <w:t xml:space="preserve"> or designee will be consulted before proceeding with the appointment.</w:t>
      </w:r>
    </w:p>
    <w:p w14:paraId="0A73757C" w14:textId="77777777" w:rsidR="00A27CB7" w:rsidRPr="008600AB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8600AB">
        <w:rPr>
          <w:rFonts w:ascii="Arial" w:eastAsia="Arial" w:hAnsi="Arial" w:cs="Arial"/>
          <w:color w:val="FF0000"/>
        </w:rPr>
        <w:t>For Veterans Administration (VA) representatives, communicate with the Veterans Administration (VA) Medical Center Director in writing to obtain confirmation of the appointment.</w:t>
      </w:r>
    </w:p>
    <w:p w14:paraId="0A73757D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Schedule a time for the applicant to attend and observe an IRB meeting, as applicable.</w:t>
      </w:r>
    </w:p>
    <w:p w14:paraId="0A73757E" w14:textId="5157DA14" w:rsidR="00A27CB7" w:rsidRDefault="003518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Upon mutual agreement, a</w:t>
      </w:r>
      <w:r w:rsidR="00AD7F55">
        <w:rPr>
          <w:rFonts w:ascii="Arial" w:eastAsia="Arial" w:hAnsi="Arial" w:cs="Arial"/>
          <w:color w:val="000000"/>
        </w:rPr>
        <w:t>dd the individual to HRP-601 - DATABASE - IRB Roster.</w:t>
      </w:r>
    </w:p>
    <w:p w14:paraId="0A73757F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Complete HRP-304 - WORKSHEET - IRB Composition and revise the membership as needed to ensure that the IRB is appropriately constituted.</w:t>
      </w:r>
    </w:p>
    <w:p w14:paraId="0A737580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Prepare HRP-560 - LETTER - IRB Member Appointment for the individual.</w:t>
      </w:r>
    </w:p>
    <w:p w14:paraId="0A737581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Provide to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for review and approval:</w:t>
      </w:r>
    </w:p>
    <w:p w14:paraId="0A737582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HRP-202 - FORM - IRB Member Information.</w:t>
      </w:r>
    </w:p>
    <w:p w14:paraId="0A737583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Résumé or curriculum vita.</w:t>
      </w:r>
    </w:p>
    <w:p w14:paraId="0A737584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Completed HRP-560 - LETTER - IRB Member Appointment.</w:t>
      </w:r>
    </w:p>
    <w:p w14:paraId="0A737585" w14:textId="3255FF7E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not approved, select another individual and restart at 5.</w:t>
      </w:r>
      <w:r w:rsidR="00D93282"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  <w:color w:val="000000"/>
        </w:rPr>
        <w:t>.</w:t>
      </w:r>
    </w:p>
    <w:p w14:paraId="0A737586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Once the appointment letter is signed:</w:t>
      </w:r>
    </w:p>
    <w:p w14:paraId="0A737587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Send the signed HRP-560 - LETTER - IRB Member Appointment to the individual.</w:t>
      </w:r>
    </w:p>
    <w:p w14:paraId="0A737588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individual requires training, schedule the individual for training.</w:t>
      </w:r>
    </w:p>
    <w:p w14:paraId="0A737589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the registration of all affected IRBs.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  <w:r>
        <w:rPr>
          <w:rFonts w:ascii="Arial" w:eastAsia="Arial" w:hAnsi="Arial" w:cs="Arial"/>
          <w:color w:val="000000"/>
        </w:rPr>
        <w:t xml:space="preserve"> </w:t>
      </w:r>
    </w:p>
    <w:p w14:paraId="0A73758A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File:</w:t>
      </w:r>
    </w:p>
    <w:p w14:paraId="0A73758B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HRP-601 - DATABASE - IRB Roster.</w:t>
      </w:r>
    </w:p>
    <w:p w14:paraId="0A73758C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Signed IRB appointment/re-appointment letter.</w:t>
      </w:r>
    </w:p>
    <w:p w14:paraId="0A73758D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HRP-202 - FORM - IRB Member Information.</w:t>
      </w:r>
    </w:p>
    <w:p w14:paraId="0A73758E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Résumé or curriculum vita.</w:t>
      </w:r>
    </w:p>
    <w:p w14:paraId="0A73758F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Any other signed agreements.</w:t>
      </w:r>
    </w:p>
    <w:p w14:paraId="0A737590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Notify the IRB manager when the individual has completed training.</w:t>
      </w:r>
    </w:p>
    <w:p w14:paraId="0A737591" w14:textId="77777777" w:rsidR="00A27CB7" w:rsidRDefault="00AD7F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the individual to the appropriate IRB panel in the Committee workspace under the Meeting tab using the “Edit Members” activity.</w:t>
      </w:r>
    </w:p>
    <w:p w14:paraId="0A737592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0A737593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HRP-202 - FORM - IRB Member Information </w:t>
      </w:r>
    </w:p>
    <w:p w14:paraId="0A737594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HRP-304 - WORKSHEET - IRB Composition </w:t>
      </w:r>
    </w:p>
    <w:p w14:paraId="0A737595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HRP-560 - LETTER - IRB Member Appointment </w:t>
      </w:r>
    </w:p>
    <w:p w14:paraId="0A737596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HRP-601 - DATABASE - IRB Roster </w:t>
      </w:r>
    </w:p>
    <w:p w14:paraId="0A737597" w14:textId="77777777" w:rsidR="00A27CB7" w:rsidRDefault="00AD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0A737598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§46.107, 45 CFR §46.108(a)(2), 45 CFR §46.115(a)(5).</w:t>
      </w:r>
    </w:p>
    <w:p w14:paraId="0A737599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§56.107, 21 CFR §56.115(a)(5).</w:t>
      </w:r>
    </w:p>
    <w:p w14:paraId="0A73759A" w14:textId="77777777" w:rsidR="00A27CB7" w:rsidRPr="008600AB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8600AB">
        <w:rPr>
          <w:rFonts w:ascii="Arial" w:eastAsia="Arial" w:hAnsi="Arial" w:cs="Arial"/>
          <w:color w:val="FF0000"/>
        </w:rPr>
        <w:t>VHA Directive 1200.05 January 7, 2019</w:t>
      </w:r>
    </w:p>
    <w:p w14:paraId="0A73759B" w14:textId="77777777" w:rsidR="00A27CB7" w:rsidRDefault="00AD7F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I.1.E, II.1.A-C</w:t>
      </w:r>
    </w:p>
    <w:sectPr w:rsidR="00A27CB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F3E7" w14:textId="77777777" w:rsidR="00B12B60" w:rsidRDefault="00B12B60">
      <w:pPr>
        <w:spacing w:after="0" w:line="240" w:lineRule="auto"/>
      </w:pPr>
      <w:r>
        <w:separator/>
      </w:r>
    </w:p>
  </w:endnote>
  <w:endnote w:type="continuationSeparator" w:id="0">
    <w:p w14:paraId="411FA5B2" w14:textId="77777777" w:rsidR="00B12B60" w:rsidRDefault="00B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759E" w14:textId="59377AD1" w:rsidR="00A27CB7" w:rsidRDefault="00AD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A73759F" w14:textId="77777777" w:rsidR="00A27CB7" w:rsidRDefault="00A27C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75A2" w14:textId="0E23E267" w:rsidR="00A27CB7" w:rsidRDefault="00AD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A7375A3" w14:textId="77777777" w:rsidR="00A27CB7" w:rsidRDefault="00A27C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E483" w14:textId="77777777" w:rsidR="00B12B60" w:rsidRDefault="00B12B60">
      <w:pPr>
        <w:spacing w:after="0" w:line="240" w:lineRule="auto"/>
      </w:pPr>
      <w:r>
        <w:separator/>
      </w:r>
    </w:p>
  </w:footnote>
  <w:footnote w:type="continuationSeparator" w:id="0">
    <w:p w14:paraId="24AB1986" w14:textId="77777777" w:rsidR="00B12B60" w:rsidRDefault="00B12B60">
      <w:pPr>
        <w:spacing w:after="0" w:line="240" w:lineRule="auto"/>
      </w:pPr>
      <w:r>
        <w:continuationSeparator/>
      </w:r>
    </w:p>
  </w:footnote>
  <w:footnote w:id="1">
    <w:p w14:paraId="0A7375A8" w14:textId="77777777" w:rsidR="00A27CB7" w:rsidRDefault="00AD7F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See </w:t>
      </w:r>
      <w:hyperlink r:id="rId1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http://www.hhs.gov/ohrp/assurances/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 xml:space="preserve">. Use Web site: </w:t>
      </w:r>
      <w:hyperlink r:id="rId2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http://ohrp.cit.nih.gov/efile/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759C" w14:textId="77777777" w:rsidR="00A27CB7" w:rsidRDefault="00AD7F55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A7375A4" wp14:editId="66FE6DC5">
          <wp:extent cx="3810000" cy="485775"/>
          <wp:effectExtent l="0" t="0" r="0" b="0"/>
          <wp:docPr id="12" name="image2.jpg" descr="VCU Office of the Vice President for Research and Innovati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g" descr="VCU Office of the Vice President for Research and Innovatio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73759D" w14:textId="77777777" w:rsidR="00A27CB7" w:rsidRDefault="00A27C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75A0" w14:textId="77777777" w:rsidR="00A27CB7" w:rsidRDefault="00AD7F55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A7375A6" wp14:editId="67EC1DB7">
          <wp:extent cx="3257378" cy="402263"/>
          <wp:effectExtent l="0" t="0" r="635" b="0"/>
          <wp:docPr id="11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7375A1" w14:textId="77777777" w:rsidR="00A27CB7" w:rsidRDefault="00A27C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465"/>
    <w:multiLevelType w:val="multilevel"/>
    <w:tmpl w:val="E864C7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color w:val="000000" w:themeColor="text1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31479"/>
    <w:multiLevelType w:val="multilevel"/>
    <w:tmpl w:val="1BDE6C6C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5637083">
    <w:abstractNumId w:val="0"/>
  </w:num>
  <w:num w:numId="2" w16cid:durableId="168435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B7"/>
    <w:rsid w:val="0000593F"/>
    <w:rsid w:val="001005B1"/>
    <w:rsid w:val="00164A4B"/>
    <w:rsid w:val="00351879"/>
    <w:rsid w:val="00406FCC"/>
    <w:rsid w:val="00453C54"/>
    <w:rsid w:val="00491CBE"/>
    <w:rsid w:val="006E5D0C"/>
    <w:rsid w:val="00775B2B"/>
    <w:rsid w:val="00836DC1"/>
    <w:rsid w:val="008600AB"/>
    <w:rsid w:val="0088389D"/>
    <w:rsid w:val="009E514D"/>
    <w:rsid w:val="00A27CB7"/>
    <w:rsid w:val="00AB3EB5"/>
    <w:rsid w:val="00AD7F55"/>
    <w:rsid w:val="00B12B60"/>
    <w:rsid w:val="00C74626"/>
    <w:rsid w:val="00C851F2"/>
    <w:rsid w:val="00D27306"/>
    <w:rsid w:val="00D61670"/>
    <w:rsid w:val="00D9088E"/>
    <w:rsid w:val="00D93282"/>
    <w:rsid w:val="00DB445B"/>
    <w:rsid w:val="00D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7565"/>
  <w15:docId w15:val="{24418F7D-16AF-49F4-B4F2-DA3DBBA5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Hyperlink">
    <w:name w:val="Hyperlink"/>
    <w:semiHidden/>
    <w:unhideWhenUsed/>
    <w:rPr>
      <w:color w:val="0000FF"/>
      <w:u w:val="single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DB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ohrp.cit.nih.gov/efile/" TargetMode="External"/><Relationship Id="rId1" Type="http://schemas.openxmlformats.org/officeDocument/2006/relationships/hyperlink" Target="http://www.hhs.gov/ohrp/assuranc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gciWkfOTMGlwDaV1I3j7o5LgA==">CgMxLjA4AGonChRzdWdnZXN0LjZjNHVsdWFpbHE1MRIPTWFkZWxlbmEgRWlmZXJ0ciExTm8wZjhVNkhSUjNzSVpFeXFFRERPcWQyZFBSZnNCYng=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2024-03-26T17:07:00Z</dcterms:created>
  <dcterms:modified xsi:type="dcterms:W3CDTF">2024-03-26T17:07:00Z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