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VA Minutes Supplement</w:t>
      </w:r>
    </w:p>
    <w:p w:rsidR="00000000" w:rsidDel="00000000" w:rsidP="00000000" w:rsidRDefault="00000000" w:rsidRPr="00000000" w14:paraId="0000000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Additional Veterans Administration (VA) Requirements</w:t>
      </w:r>
    </w:p>
    <w:p w:rsidR="00000000" w:rsidDel="00000000" w:rsidP="00000000" w:rsidRDefault="00000000" w:rsidRPr="00000000" w14:paraId="00000004">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aeaaaa" w:space="1" w:sz="4" w:val="single"/>
          <w:left w:color="aeaaaa" w:space="4" w:sz="4" w:val="single"/>
          <w:bottom w:color="aeaaaa" w:space="1" w:sz="4" w:val="single"/>
          <w:right w:color="aeaaaa" w:space="4" w:sz="4" w:val="single"/>
          <w:between w:space="0" w:sz="0" w:val="nil"/>
        </w:pBdr>
        <w:shd w:fill="dfdfdf"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an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Unanticipated Problem Involving Risks to Subjects or Others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IRB’s determination as to whether:</w:t>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The incident</w:t>
      </w:r>
      <w:r w:rsidDel="00000000" w:rsidR="00000000" w:rsidRPr="00000000">
        <w:rPr>
          <w:rFonts w:ascii="Arial" w:cs="Arial" w:eastAsia="Arial" w:hAnsi="Arial"/>
          <w:rtl w:val="0"/>
        </w:rPr>
        <w:t xml:space="preserve">, experience, or outcome </w:t>
      </w:r>
      <w:r w:rsidDel="00000000" w:rsidR="00000000" w:rsidRPr="00000000">
        <w:rPr>
          <w:rFonts w:ascii="Arial" w:cs="Arial" w:eastAsia="Arial" w:hAnsi="Arial"/>
          <w:color w:val="ff0000"/>
          <w:rtl w:val="0"/>
        </w:rPr>
        <w:t xml:space="preserve">&lt;is/is not&gt;</w:t>
      </w:r>
      <w:r w:rsidDel="00000000" w:rsidR="00000000" w:rsidRPr="00000000">
        <w:rPr>
          <w:rFonts w:ascii="Arial" w:cs="Arial" w:eastAsia="Arial" w:hAnsi="Arial"/>
          <w:color w:val="000000"/>
          <w:rtl w:val="0"/>
        </w:rPr>
        <w:t xml:space="preserve"> unexpected and related to the research or possibly related to participation in the research and indicative of the research placing subjects or others at substantively greater risk of harm than was previously known or recognized (i.e., whether the incident, experience or outcome constituted an actual </w:t>
      </w:r>
      <w:r w:rsidDel="00000000" w:rsidR="00000000" w:rsidRPr="00000000">
        <w:rPr>
          <w:rFonts w:ascii="Arial" w:cs="Arial" w:eastAsia="Arial" w:hAnsi="Arial"/>
          <w:u w:val="single"/>
          <w:rtl w:val="0"/>
        </w:rPr>
        <w:t xml:space="preserve">Unanticipated Problem Involving Risks to Subjects or Others</w:t>
      </w:r>
      <w:r w:rsidDel="00000000" w:rsidR="00000000" w:rsidRPr="00000000">
        <w:rPr>
          <w:rFonts w:ascii="Arial" w:cs="Arial" w:eastAsia="Arial" w:hAnsi="Arial"/>
          <w:color w:val="000000"/>
          <w:rtl w:val="0"/>
        </w:rPr>
        <w:t xml:space="preserve">) OR there is insufficient information to determine whether the incident is an </w:t>
      </w:r>
      <w:r w:rsidDel="00000000" w:rsidR="00000000" w:rsidRPr="00000000">
        <w:rPr>
          <w:rFonts w:ascii="Arial" w:cs="Arial" w:eastAsia="Arial" w:hAnsi="Arial"/>
          <w:u w:val="single"/>
          <w:rtl w:val="0"/>
        </w:rPr>
        <w:t xml:space="preserve">Unanticipated Problem Involving Risks to Subjects or Others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9">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A protocol modification </w:t>
      </w:r>
      <w:r w:rsidDel="00000000" w:rsidR="00000000" w:rsidRPr="00000000">
        <w:rPr>
          <w:rFonts w:ascii="Arial" w:cs="Arial" w:eastAsia="Arial" w:hAnsi="Arial"/>
          <w:color w:val="ff0000"/>
          <w:rtl w:val="0"/>
        </w:rPr>
        <w:t xml:space="preserve">&lt;is/is not&gt; </w:t>
      </w:r>
      <w:r w:rsidDel="00000000" w:rsidR="00000000" w:rsidRPr="00000000">
        <w:rPr>
          <w:rFonts w:ascii="Arial" w:cs="Arial" w:eastAsia="Arial" w:hAnsi="Arial"/>
          <w:color w:val="000000"/>
          <w:rtl w:val="0"/>
        </w:rPr>
        <w:t xml:space="preserve">warranted.</w:t>
      </w:r>
    </w:p>
    <w:p w:rsidR="00000000" w:rsidDel="00000000" w:rsidP="00000000" w:rsidRDefault="00000000" w:rsidRPr="00000000" w14:paraId="0000000A">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A consent document modification </w:t>
      </w:r>
      <w:r w:rsidDel="00000000" w:rsidR="00000000" w:rsidRPr="00000000">
        <w:rPr>
          <w:rFonts w:ascii="Arial" w:cs="Arial" w:eastAsia="Arial" w:hAnsi="Arial"/>
          <w:color w:val="ff0000"/>
          <w:rtl w:val="0"/>
        </w:rPr>
        <w:t xml:space="preserve">&lt;is/is not&gt; </w:t>
      </w:r>
      <w:r w:rsidDel="00000000" w:rsidR="00000000" w:rsidRPr="00000000">
        <w:rPr>
          <w:rFonts w:ascii="Arial" w:cs="Arial" w:eastAsia="Arial" w:hAnsi="Arial"/>
          <w:color w:val="000000"/>
          <w:rtl w:val="0"/>
        </w:rPr>
        <w:t xml:space="preserve">warranted. </w:t>
        <w:br w:type="textWrapping"/>
      </w:r>
      <w:r w:rsidDel="00000000" w:rsidR="00000000" w:rsidRPr="00000000">
        <w:rPr>
          <w:rFonts w:ascii="Arial" w:cs="Arial" w:eastAsia="Arial" w:hAnsi="Arial"/>
          <w:color w:val="ff0000"/>
          <w:rtl w:val="0"/>
        </w:rPr>
        <w:t xml:space="preserve">&lt;If a consent document modification is warranted:&gt;</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Previously enrolled subjects </w:t>
      </w:r>
      <w:r w:rsidDel="00000000" w:rsidR="00000000" w:rsidRPr="00000000">
        <w:rPr>
          <w:rFonts w:ascii="Arial" w:cs="Arial" w:eastAsia="Arial" w:hAnsi="Arial"/>
          <w:color w:val="ff0000"/>
          <w:rtl w:val="0"/>
        </w:rPr>
        <w:t xml:space="preserve">&lt;must be/do not have to be&gt;</w:t>
      </w:r>
      <w:r w:rsidDel="00000000" w:rsidR="00000000" w:rsidRPr="00000000">
        <w:rPr>
          <w:rFonts w:ascii="Arial" w:cs="Arial" w:eastAsia="Arial" w:hAnsi="Arial"/>
          <w:color w:val="000000"/>
          <w:rtl w:val="0"/>
        </w:rPr>
        <w:t xml:space="preserve"> notified of the modification.</w:t>
        <w:br w:type="textWrapping"/>
      </w:r>
      <w:r w:rsidDel="00000000" w:rsidR="00000000" w:rsidRPr="00000000">
        <w:rPr>
          <w:rFonts w:ascii="Arial" w:cs="Arial" w:eastAsia="Arial" w:hAnsi="Arial"/>
          <w:color w:val="ff0000"/>
          <w:rtl w:val="0"/>
        </w:rPr>
        <w:t xml:space="preserve">&lt;If previously enrolled subjects must be notified:&gt;</w:t>
      </w:r>
      <w:r w:rsidDel="00000000" w:rsidR="00000000" w:rsidRPr="00000000">
        <w:rPr>
          <w:rtl w:val="0"/>
        </w:rPr>
      </w:r>
    </w:p>
    <w:p w:rsidR="00000000" w:rsidDel="00000000" w:rsidP="00000000" w:rsidRDefault="00000000" w:rsidRPr="00000000" w14:paraId="0000000C">
      <w:pPr>
        <w:numPr>
          <w:ilvl w:val="0"/>
          <w:numId w:val="2"/>
        </w:numPr>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Such notification must take place </w:t>
      </w:r>
      <w:r w:rsidDel="00000000" w:rsidR="00000000" w:rsidRPr="00000000">
        <w:rPr>
          <w:rFonts w:ascii="Arial" w:cs="Arial" w:eastAsia="Arial" w:hAnsi="Arial"/>
          <w:color w:val="ff0000"/>
          <w:rtl w:val="0"/>
        </w:rPr>
        <w:t xml:space="preserve">&lt;when&gt;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Such notification must be documented by </w:t>
      </w:r>
      <w:r w:rsidDel="00000000" w:rsidR="00000000" w:rsidRPr="00000000">
        <w:rPr>
          <w:rFonts w:ascii="Arial" w:cs="Arial" w:eastAsia="Arial" w:hAnsi="Arial"/>
          <w:color w:val="ff0000"/>
          <w:rtl w:val="0"/>
        </w:rPr>
        <w:t xml:space="preserve">&lt;how&gt;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E">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eaaaa" w:space="1" w:sz="4" w:val="single"/>
          <w:left w:color="aeaaaa" w:space="4" w:sz="4" w:val="single"/>
          <w:bottom w:color="aeaaaa" w:space="1" w:sz="4" w:val="single"/>
          <w:right w:color="aeaaaa" w:space="4" w:sz="4" w:val="single"/>
          <w:between w:space="0" w:sz="0" w:val="nil"/>
        </w:pBdr>
        <w:shd w:fill="dfdfdf"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Serious Non-Compliance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Continuing Non-Compliance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IRB’s determination as to whether:</w:t>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u w:val="single"/>
          <w:rtl w:val="0"/>
        </w:rPr>
        <w:t xml:space="preserve">Serious Non-Compliance</w:t>
      </w:r>
      <w:r w:rsidDel="00000000" w:rsidR="00000000" w:rsidRPr="00000000">
        <w:rPr>
          <w:rFonts w:ascii="Arial" w:cs="Arial" w:eastAsia="Arial" w:hAnsi="Arial"/>
          <w:color w:val="000000"/>
          <w:rtl w:val="0"/>
        </w:rPr>
        <w:t xml:space="preserve"> or </w:t>
      </w:r>
      <w:r w:rsidDel="00000000" w:rsidR="00000000" w:rsidRPr="00000000">
        <w:rPr>
          <w:rFonts w:ascii="Arial" w:cs="Arial" w:eastAsia="Arial" w:hAnsi="Arial"/>
          <w:color w:val="000000"/>
          <w:u w:val="single"/>
          <w:rtl w:val="0"/>
        </w:rPr>
        <w:t xml:space="preserve">Continuing Non-Compliance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ff0000"/>
          <w:rtl w:val="0"/>
        </w:rPr>
        <w:t xml:space="preserve">&lt;did/did not&gt;</w:t>
      </w:r>
      <w:r w:rsidDel="00000000" w:rsidR="00000000" w:rsidRPr="00000000">
        <w:rPr>
          <w:rFonts w:ascii="Arial" w:cs="Arial" w:eastAsia="Arial" w:hAnsi="Arial"/>
          <w:color w:val="000000"/>
          <w:rtl w:val="0"/>
        </w:rPr>
        <w:t xml:space="preserve"> occur.</w:t>
        <w:br w:type="textWrapping"/>
        <w:t xml:space="preserve">&lt;If </w:t>
      </w:r>
      <w:r w:rsidDel="00000000" w:rsidR="00000000" w:rsidRPr="00000000">
        <w:rPr>
          <w:rFonts w:ascii="Arial" w:cs="Arial" w:eastAsia="Arial" w:hAnsi="Arial"/>
          <w:color w:val="000000"/>
          <w:u w:val="single"/>
          <w:rtl w:val="0"/>
        </w:rPr>
        <w:t xml:space="preserve">Serious Non-Compliance</w:t>
      </w:r>
      <w:r w:rsidDel="00000000" w:rsidR="00000000" w:rsidRPr="00000000">
        <w:rPr>
          <w:rFonts w:ascii="Arial" w:cs="Arial" w:eastAsia="Arial" w:hAnsi="Arial"/>
          <w:color w:val="000000"/>
          <w:rtl w:val="0"/>
        </w:rPr>
        <w:t xml:space="preserve"> or </w:t>
      </w:r>
      <w:r w:rsidDel="00000000" w:rsidR="00000000" w:rsidRPr="00000000">
        <w:rPr>
          <w:rFonts w:ascii="Arial" w:cs="Arial" w:eastAsia="Arial" w:hAnsi="Arial"/>
          <w:color w:val="000000"/>
          <w:u w:val="single"/>
          <w:rtl w:val="0"/>
        </w:rPr>
        <w:t xml:space="preserve">Continuing Non-Compliance</w:t>
      </w:r>
      <w:r w:rsidDel="00000000" w:rsidR="00000000" w:rsidRPr="00000000">
        <w:rPr>
          <w:rFonts w:ascii="Arial" w:cs="Arial" w:eastAsia="Arial" w:hAnsi="Arial"/>
          <w:color w:val="000000"/>
          <w:rtl w:val="0"/>
        </w:rPr>
        <w:t xml:space="preserve"> did occur:&gt;</w:t>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Remedial actions </w:t>
      </w:r>
      <w:r w:rsidDel="00000000" w:rsidR="00000000" w:rsidRPr="00000000">
        <w:rPr>
          <w:rFonts w:ascii="Arial" w:cs="Arial" w:eastAsia="Arial" w:hAnsi="Arial"/>
          <w:color w:val="ff0000"/>
          <w:rtl w:val="0"/>
        </w:rPr>
        <w:t xml:space="preserve">&lt;are/are not&gt;</w:t>
      </w:r>
      <w:r w:rsidDel="00000000" w:rsidR="00000000" w:rsidRPr="00000000">
        <w:rPr>
          <w:rFonts w:ascii="Arial" w:cs="Arial" w:eastAsia="Arial" w:hAnsi="Arial"/>
          <w:color w:val="000000"/>
          <w:rtl w:val="0"/>
        </w:rPr>
        <w:t xml:space="preserve"> needed to resolve present and/or future compliance.  </w:t>
      </w:r>
      <w:r w:rsidDel="00000000" w:rsidR="00000000" w:rsidRPr="00000000">
        <w:rPr>
          <w:rFonts w:ascii="Arial" w:cs="Arial" w:eastAsia="Arial" w:hAnsi="Arial"/>
          <w:color w:val="ff0000"/>
          <w:rtl w:val="0"/>
        </w:rPr>
        <w:t xml:space="preserve">&lt;If remedial actions are needed, describe.&gt;</w:t>
      </w: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eaaaa" w:space="1" w:sz="4" w:val="single"/>
          <w:left w:color="aeaaaa" w:space="4" w:sz="4" w:val="single"/>
          <w:bottom w:color="aeaaaa" w:space="1" w:sz="4" w:val="single"/>
          <w:right w:color="aeaaaa" w:space="4" w:sz="4" w:val="single"/>
          <w:between w:space="0" w:sz="0" w:val="nil"/>
        </w:pBdr>
        <w:shd w:fill="dfdfdf"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external suspensions or terminations of research, the IRB’s determination as to whether:</w:t>
      </w:r>
    </w:p>
    <w:p w:rsidR="00000000" w:rsidDel="00000000" w:rsidP="00000000" w:rsidRDefault="00000000" w:rsidRPr="00000000" w14:paraId="0000001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The suspension or termination </w:t>
      </w:r>
      <w:r w:rsidDel="00000000" w:rsidR="00000000" w:rsidRPr="00000000">
        <w:rPr>
          <w:rFonts w:ascii="Arial" w:cs="Arial" w:eastAsia="Arial" w:hAnsi="Arial"/>
          <w:color w:val="ff0000"/>
          <w:rtl w:val="0"/>
        </w:rPr>
        <w:t xml:space="preserve">&lt;was/was not&gt;</w:t>
      </w:r>
      <w:r w:rsidDel="00000000" w:rsidR="00000000" w:rsidRPr="00000000">
        <w:rPr>
          <w:rFonts w:ascii="Arial" w:cs="Arial" w:eastAsia="Arial" w:hAnsi="Arial"/>
          <w:color w:val="000000"/>
          <w:rtl w:val="0"/>
        </w:rPr>
        <w:t xml:space="preserve"> A result of a local adverse event(s), local non-compliance, or other local issue(s).</w:t>
      </w:r>
    </w:p>
    <w:p w:rsidR="00000000" w:rsidDel="00000000" w:rsidP="00000000" w:rsidRDefault="00000000" w:rsidRPr="00000000" w14:paraId="0000001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Local action </w:t>
      </w:r>
      <w:r w:rsidDel="00000000" w:rsidR="00000000" w:rsidRPr="00000000">
        <w:rPr>
          <w:rFonts w:ascii="Arial" w:cs="Arial" w:eastAsia="Arial" w:hAnsi="Arial"/>
          <w:color w:val="ff0000"/>
          <w:rtl w:val="0"/>
        </w:rPr>
        <w:t xml:space="preserve">&lt;is/is not&gt;</w:t>
      </w:r>
      <w:r w:rsidDel="00000000" w:rsidR="00000000" w:rsidRPr="00000000">
        <w:rPr>
          <w:rFonts w:ascii="Arial" w:cs="Arial" w:eastAsia="Arial" w:hAnsi="Arial"/>
          <w:color w:val="000000"/>
          <w:rtl w:val="0"/>
        </w:rPr>
        <w:t xml:space="preserve"> required to ensure the safety, rights, or welfare of local research subjects, personnel, or others or the effective of the local HRPP.</w:t>
      </w:r>
    </w:p>
    <w:p w:rsidR="00000000" w:rsidDel="00000000" w:rsidP="00000000" w:rsidRDefault="00000000" w:rsidRPr="00000000" w14:paraId="0000001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Revised: July 14, 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autoSpaceDE w:val="0"/>
      <w:autoSpaceDN w:val="0"/>
      <w:adjustRightInd w:val="0"/>
      <w:spacing w:after="0" w:line="240" w:lineRule="auto"/>
    </w:pPr>
    <w:rPr>
      <w:rFonts w:ascii="NNFPLJ+TimesNewRoman" w:cs="Times New Roman" w:eastAsia="Times New Roman" w:hAnsi="NNFPLJ+TimesNewRoman"/>
      <w:sz w:val="24"/>
      <w:szCs w:val="24"/>
    </w:rPr>
  </w:style>
  <w:style w:type="character" w:styleId="FooterChar" w:customStyle="1">
    <w:name w:val="Footer Char"/>
    <w:basedOn w:val="DefaultParagraphFont"/>
    <w:link w:val="Footer"/>
    <w:uiPriority w:val="99"/>
    <w:rPr>
      <w:rFonts w:ascii="NNFPLJ+TimesNewRoman" w:cs="Times New Roman" w:eastAsia="Times New Roman" w:hAnsi="NNFPLJ+TimesNewRoman"/>
      <w:sz w:val="24"/>
      <w:szCs w:val="24"/>
    </w:rPr>
  </w:style>
  <w:style w:type="table" w:styleId="TableGridLight1" w:customStyle="1">
    <w:name w:val="Table Grid Light1"/>
    <w:basedOn w:val="TableNormal"/>
    <w:next w:val="TableGridLight"/>
    <w:uiPriority w:val="40"/>
    <w:pPr>
      <w:spacing w:after="0" w:line="240" w:lineRule="auto"/>
    </w:p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ectionHeading-HCG" w:customStyle="1">
    <w:name w:val="Section Heading - HCG"/>
    <w:basedOn w:val="Normal"/>
    <w:link w:val="SectionHeading-HCGChar"/>
    <w:qFormat w:val="1"/>
    <w:pPr>
      <w:pBdr>
        <w:top w:color="aeaaaa" w:space="1" w:sz="4" w:themeColor="background2" w:themeShade="0000BF" w:val="single"/>
        <w:left w:color="aeaaaa" w:space="4" w:sz="4" w:themeColor="background2" w:themeShade="0000BF" w:val="single"/>
        <w:bottom w:color="aeaaaa" w:space="1" w:sz="4" w:themeColor="background2" w:themeShade="0000BF" w:val="single"/>
        <w:right w:color="aeaaaa" w:space="4" w:sz="4" w:themeColor="background2" w:themeShade="0000BF" w:val="single"/>
      </w:pBdr>
      <w:shd w:color="auto" w:fill="auto" w:val="pct12"/>
      <w:spacing w:line="240" w:lineRule="auto"/>
    </w:pPr>
    <w:rPr>
      <w:rFonts w:ascii="Arial" w:cs="Arial" w:hAnsi="Arial"/>
      <w:b w:val="1"/>
      <w:bCs w:val="1"/>
      <w:sz w:val="24"/>
      <w:szCs w:val="24"/>
    </w:rPr>
  </w:style>
  <w:style w:type="character" w:styleId="SectionHeading-HCGChar" w:customStyle="1">
    <w:name w:val="Section Heading - HCG Char"/>
    <w:basedOn w:val="DefaultParagraphFont"/>
    <w:link w:val="SectionHeading-HCG"/>
    <w:rPr>
      <w:rFonts w:ascii="Arial" w:cs="Arial" w:hAnsi="Arial"/>
      <w:b w:val="1"/>
      <w:bCs w:val="1"/>
      <w:sz w:val="24"/>
      <w:szCs w:val="24"/>
      <w:shd w:color="auto" w:fill="auto" w:val="pct12"/>
    </w:rPr>
  </w:style>
  <w:style w:type="character" w:styleId="Hyperlink">
    <w:name w:val="Hyperlink"/>
    <w:basedOn w:val="DefaultParagraphFont"/>
    <w:uiPriority w:val="99"/>
    <w:unhideWhenUsed w:val="1"/>
    <w:rPr>
      <w:color w:val="0563c1" w:themeColor="hyperlink"/>
      <w:u w:val="single"/>
    </w:rPr>
  </w:style>
  <w:style w:type="paragraph" w:styleId="EndnoteText">
    <w:name w:val="endnote text"/>
    <w:basedOn w:val="Normal"/>
    <w:link w:val="EndnoteTextChar"/>
    <w:uiPriority w:val="99"/>
    <w:semiHidden w:val="1"/>
    <w:unhideWhenUsed w:val="1"/>
    <w:pPr>
      <w:spacing w:after="0" w:line="240" w:lineRule="auto"/>
    </w:pPr>
    <w:rPr>
      <w:rFonts w:ascii="Arial" w:hAnsi="Arial"/>
      <w:sz w:val="18"/>
      <w:szCs w:val="20"/>
    </w:rPr>
  </w:style>
  <w:style w:type="character" w:styleId="EndnoteTextChar" w:customStyle="1">
    <w:name w:val="Endnote Text Char"/>
    <w:basedOn w:val="DefaultParagraphFont"/>
    <w:link w:val="EndnoteText"/>
    <w:uiPriority w:val="99"/>
    <w:semiHidden w:val="1"/>
    <w:rPr>
      <w:rFonts w:ascii="Arial" w:hAnsi="Arial"/>
      <w:sz w:val="18"/>
      <w:szCs w:val="20"/>
    </w:rPr>
  </w:style>
  <w:style w:type="character" w:styleId="EndnoteReference">
    <w:name w:val="endnote reference"/>
    <w:basedOn w:val="DefaultParagraphFont"/>
    <w:uiPriority w:val="99"/>
    <w:semiHidden w:val="1"/>
    <w:unhideWhenUsed w:val="1"/>
    <w:rPr>
      <w:vertAlign w:val="superscript"/>
    </w:r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hPq4K/ReefLNQVLuvm/O0eXlrA==">CgMxLjA4AGonChRzdWdnZXN0Lmw0ZHBoc3JhNnA0ZRIPTWFkZWxlbmEgRWlmZXJ0ciExbXlnTUVQeUctMEN6cUtRVG5oN20zblZmNnVGMG5TODY=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2022-08-15T01:49:00Z</dcterms:created>
  <dc:creator>David Platz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