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347" w:rsidRDefault="00F82AD6">
      <w:pPr>
        <w:tabs>
          <w:tab w:val="left" w:pos="1490"/>
          <w:tab w:val="center" w:pos="5400"/>
        </w:tabs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HRP-316 | 10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23/2024</w:t>
      </w:r>
      <w:bookmarkStart w:id="0" w:name="_GoBack"/>
      <w:bookmarkEnd w:id="0"/>
    </w:p>
    <w:p w:rsidR="00631347" w:rsidRDefault="00631347">
      <w:pPr>
        <w:tabs>
          <w:tab w:val="left" w:pos="1490"/>
          <w:tab w:val="center" w:pos="5400"/>
        </w:tabs>
        <w:spacing w:after="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WORKSHEET: Payments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purpose of this worksheet is to provide support for the convened IRB or Designated Reviewers when evaluating payments to subjects or their Legally Authorized Representatives.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  <w:r>
        <w:rPr>
          <w:rFonts w:ascii="Arial" w:eastAsia="Arial" w:hAnsi="Arial" w:cs="Arial"/>
          <w:color w:val="000000"/>
        </w:rPr>
        <w:t xml:space="preserve"> </w:t>
      </w:r>
    </w:p>
    <w:p w:rsidR="00631347" w:rsidRDefault="00F82AD6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1. Requirements for Payments</w:t>
      </w:r>
      <w:r>
        <w:rPr>
          <w:rFonts w:ascii="Arial" w:eastAsia="Arial" w:hAnsi="Arial" w:cs="Arial"/>
          <w:b/>
          <w:color w:val="000000"/>
          <w:vertAlign w:val="superscript"/>
        </w:rPr>
        <w:footnoteReference w:id="2"/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(Check if “</w:t>
      </w:r>
      <w:r>
        <w:rPr>
          <w:rFonts w:ascii="Arial" w:eastAsia="Arial" w:hAnsi="Arial" w:cs="Arial"/>
          <w:b/>
          <w:color w:val="000000"/>
        </w:rPr>
        <w:t>Yes</w:t>
      </w:r>
      <w:r>
        <w:rPr>
          <w:rFonts w:ascii="Arial" w:eastAsia="Arial" w:hAnsi="Arial" w:cs="Arial"/>
          <w:color w:val="000000"/>
        </w:rPr>
        <w:t>”. All must be checked)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"/>
          <w:id w:val="-210964973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All payments are described in the protocol including: (Check if “Yes”. All must be checked) 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3"/>
          <w:id w:val="-19483868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Amount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4"/>
          <w:id w:val="86918053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Method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Reason/purpose (e.g., their time, inconvenience, discomfort, or some other consideration)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5"/>
          <w:id w:val="-149478682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Timing of disbursement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6"/>
          <w:id w:val="-17247478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Credit for payment accrues as the study progresses.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7"/>
          <w:id w:val="97850001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Payment is not contingent upon completing the entire study.</w:t>
      </w:r>
    </w:p>
    <w:bookmarkStart w:id="1" w:name="_heading=h.gjdgxs" w:colFirst="0" w:colLast="0"/>
    <w:bookmarkEnd w:id="1"/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8"/>
          <w:id w:val="4258443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The amount of</w:t>
      </w:r>
      <w:r>
        <w:rPr>
          <w:rFonts w:ascii="Arial" w:eastAsia="Arial" w:hAnsi="Arial" w:cs="Arial"/>
          <w:color w:val="000000"/>
        </w:rPr>
        <w:t xml:space="preserve"> payment and the proposed method and timing of disbursement is neither coercive nor presented undue influence.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9"/>
          <w:id w:val="9680848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Any amount paid as a bonus for completion is reasonable and not so large as to unduly induce subjects to stay in the study when they would ot</w:t>
      </w:r>
      <w:r>
        <w:rPr>
          <w:rFonts w:ascii="Arial" w:eastAsia="Arial" w:hAnsi="Arial" w:cs="Arial"/>
          <w:color w:val="000000"/>
        </w:rPr>
        <w:t>herwise have withdrawn and is evaluated in context of any reimbursement or compensation payment included in the study.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0"/>
          <w:id w:val="6813261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All information concerning payment, including the amount and schedule of payments, is in the informed consent document.</w:t>
      </w:r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3"/>
          <w:id w:val="3018981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The infor</w:t>
      </w:r>
      <w:r>
        <w:rPr>
          <w:rFonts w:ascii="Arial" w:eastAsia="Arial" w:hAnsi="Arial" w:cs="Arial"/>
        </w:rPr>
        <w:t xml:space="preserve">mation sheet or consent document contains required VCU institutional language for payments </w:t>
      </w:r>
      <w:sdt>
        <w:sdtPr>
          <w:tag w:val="goog_rdk_11"/>
          <w:id w:val="-362596037"/>
        </w:sdtPr>
        <w:sdtEndPr/>
        <w:sdtContent>
          <w:r>
            <w:rPr>
              <w:rFonts w:ascii="Arial" w:eastAsia="Arial" w:hAnsi="Arial" w:cs="Arial"/>
            </w:rPr>
            <w:t xml:space="preserve">over $50 </w:t>
          </w:r>
        </w:sdtContent>
      </w:sdt>
      <w:r>
        <w:rPr>
          <w:rFonts w:ascii="Arial" w:eastAsia="Arial" w:hAnsi="Arial" w:cs="Arial"/>
        </w:rPr>
        <w:t>as included in HRP-502 - TEMPLATE CONSENT DOCUMENT.</w:t>
      </w:r>
      <w:sdt>
        <w:sdtPr>
          <w:tag w:val="goog_rdk_12"/>
          <w:id w:val="-1401364469"/>
        </w:sdtPr>
        <w:sdtEndPr/>
        <w:sdtContent>
          <w:r>
            <w:rPr>
              <w:rFonts w:ascii="Arial" w:eastAsia="Arial" w:hAnsi="Arial" w:cs="Arial"/>
              <w:vertAlign w:val="superscript"/>
            </w:rPr>
            <w:footnoteReference w:id="3"/>
          </w:r>
        </w:sdtContent>
      </w:sdt>
    </w:p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14"/>
          <w:id w:val="182269544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Compensation does not include a coupon good for a discount on the purchase price of the product once it has been approved.</w:t>
      </w:r>
    </w:p>
    <w:sectPr w:rsidR="0063134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AD6" w:rsidRDefault="00F82AD6">
      <w:pPr>
        <w:spacing w:after="0" w:line="240" w:lineRule="auto"/>
      </w:pPr>
      <w:r>
        <w:separator/>
      </w:r>
    </w:p>
  </w:endnote>
  <w:endnote w:type="continuationSeparator" w:id="0">
    <w:p w:rsidR="00F82AD6" w:rsidRDefault="00F8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00"/>
    <w:family w:val="auto"/>
    <w:pitch w:val="default"/>
  </w:font>
  <w:font w:name="Montserra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47" w:rsidRDefault="00F82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end"/>
    </w:r>
  </w:p>
  <w:p w:rsidR="00631347" w:rsidRDefault="00F82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b/>
        <w:color w:val="717275"/>
        <w:sz w:val="18"/>
        <w:szCs w:val="18"/>
      </w:rPr>
    </w:pPr>
    <w:r>
      <w:rPr>
        <w:rFonts w:ascii="Montserrat" w:eastAsia="Montserrat" w:hAnsi="Montserrat" w:cs="Montserrat"/>
        <w:b/>
        <w:color w:val="717275"/>
        <w:sz w:val="18"/>
        <w:szCs w:val="18"/>
      </w:rPr>
      <w:t>Huron HRPP Toolkit 5.0</w:t>
    </w:r>
  </w:p>
  <w:p w:rsidR="00631347" w:rsidRDefault="00F82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color w:val="717275"/>
        <w:sz w:val="18"/>
        <w:szCs w:val="18"/>
      </w:rPr>
    </w:pPr>
    <w:r>
      <w:rPr>
        <w:rFonts w:ascii="Montserrat" w:eastAsia="Montserrat" w:hAnsi="Montserrat" w:cs="Montserrat"/>
        <w:color w:val="717275"/>
        <w:sz w:val="18"/>
        <w:szCs w:val="18"/>
      </w:rPr>
      <w:t>© 2009-2022 Huron Consulting Group Inc. and affiliates.</w:t>
    </w:r>
  </w:p>
  <w:p w:rsidR="00631347" w:rsidRDefault="00F82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Montserrat" w:eastAsia="Montserrat" w:hAnsi="Montserrat" w:cs="Montserrat"/>
        <w:color w:val="717275"/>
        <w:sz w:val="18"/>
        <w:szCs w:val="18"/>
      </w:rPr>
      <w:t>Use subject to Huron’s Toolkit terms and conditions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47" w:rsidRDefault="00F82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4436DC">
      <w:rPr>
        <w:b/>
        <w:color w:val="000000"/>
      </w:rPr>
      <w:fldChar w:fldCharType="separate"/>
    </w:r>
    <w:r w:rsidR="004436D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4436DC">
      <w:rPr>
        <w:b/>
        <w:color w:val="000000"/>
      </w:rPr>
      <w:fldChar w:fldCharType="separate"/>
    </w:r>
    <w:r w:rsidR="004436DC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631347" w:rsidRDefault="006313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AD6" w:rsidRDefault="00F82AD6">
      <w:pPr>
        <w:spacing w:after="0" w:line="240" w:lineRule="auto"/>
      </w:pPr>
      <w:r>
        <w:separator/>
      </w:r>
    </w:p>
  </w:footnote>
  <w:footnote w:type="continuationSeparator" w:id="0">
    <w:p w:rsidR="00F82AD6" w:rsidRDefault="00F82AD6">
      <w:pPr>
        <w:spacing w:after="0" w:line="240" w:lineRule="auto"/>
      </w:pPr>
      <w:r>
        <w:continuationSeparator/>
      </w:r>
    </w:p>
  </w:footnote>
  <w:footnote w:id="1">
    <w:p w:rsidR="00631347" w:rsidRDefault="00F82A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This document satisfies AAHRPP elements II.3.C-II.</w:t>
      </w:r>
      <w:proofErr w:type="gramStart"/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3.C.</w:t>
      </w:r>
      <w:proofErr w:type="gramEnd"/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1, III.1.E</w:t>
      </w:r>
    </w:p>
  </w:footnote>
  <w:footnote w:id="2">
    <w:sdt>
      <w:sdtPr>
        <w:tag w:val="goog_rdk_16"/>
        <w:id w:val="-529716255"/>
      </w:sdtPr>
      <w:sdtEndPr/>
      <w:sdtContent>
        <w:p w:rsidR="00631347" w:rsidRPr="004436DC" w:rsidRDefault="00F82AD6">
          <w:pPr>
            <w:spacing w:after="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Style w:val="FootnoteReference"/>
            </w:rPr>
            <w:footnoteRef/>
          </w:r>
          <w:sdt>
            <w:sdtPr>
              <w:tag w:val="goog_rdk_15"/>
              <w:id w:val="-821659855"/>
            </w:sdtPr>
            <w:sdtEndPr/>
            <w:sdtContent>
              <w:r w:rsidRPr="004436DC">
                <w:rPr>
                  <w:rFonts w:ascii="Arial" w:eastAsia="Arial" w:hAnsi="Arial" w:cs="Arial"/>
                  <w:color w:val="000000"/>
                  <w:sz w:val="18"/>
                  <w:szCs w:val="18"/>
                </w:rPr>
                <w:t xml:space="preserve"> FDA Information Sheet, “Guidance for Institutional Review Boards and Clinical Investigators, Payment and Reimbursement to Research Subjects” January 2018</w:t>
              </w:r>
            </w:sdtContent>
          </w:sdt>
        </w:p>
      </w:sdtContent>
    </w:sdt>
  </w:footnote>
  <w:footnote w:id="3">
    <w:sdt>
      <w:sdtPr>
        <w:tag w:val="goog_rdk_19"/>
        <w:id w:val="-2017921230"/>
      </w:sdtPr>
      <w:sdtEndPr/>
      <w:sdtContent>
        <w:p w:rsidR="00631347" w:rsidRDefault="00F82AD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20"/>
              <w:szCs w:val="20"/>
            </w:rPr>
          </w:pPr>
          <w:r>
            <w:rPr>
              <w:rStyle w:val="FootnoteReference"/>
            </w:rPr>
            <w:footnoteRef/>
          </w:r>
          <w:sdt>
            <w:sdtPr>
              <w:tag w:val="goog_rdk_18"/>
              <w:id w:val="-1517377368"/>
            </w:sdtPr>
            <w:sdtEndPr/>
            <w:sdtContent>
              <w:r>
                <w:rPr>
                  <w:color w:val="000000"/>
                  <w:sz w:val="20"/>
                  <w:szCs w:val="20"/>
                </w:rPr>
                <w:t xml:space="preserve"> https://procurement.vcu.edu/i-want-to/pay-an-individual/compensate-a-research-participant/</w:t>
              </w:r>
            </w:sdtContent>
          </w:sdt>
        </w:p>
      </w:sdtContent>
    </w:sdt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47" w:rsidRDefault="00F82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noProof/>
        <w:color w:val="000000"/>
      </w:rPr>
      <w:drawing>
        <wp:inline distT="0" distB="0" distL="0" distR="0">
          <wp:extent cx="1627067" cy="515620"/>
          <wp:effectExtent l="0" t="0" r="0" b="0"/>
          <wp:docPr id="15" name="image1.jpg" descr="This is the Huro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his is the Huron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7067" cy="515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47" w:rsidRDefault="00F82AD6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>
          <wp:extent cx="3257378" cy="402263"/>
          <wp:effectExtent l="0" t="0" r="0" b="0"/>
          <wp:docPr id="16" name="image2.png" descr="Emblem with Virginia Commonwealth University and the Egyptian building.  VCU Research and Innov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mblem with Virginia Commonwealth University and the Egyptian building.  VCU Research and Innov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31347" w:rsidRDefault="006313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347"/>
    <w:rsid w:val="004436DC"/>
    <w:rsid w:val="00631347"/>
    <w:rsid w:val="00F8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0026"/>
  <w15:docId w15:val="{22FD41D0-226C-403D-A0A6-6E7C77B4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normaltextrun">
    <w:name w:val="normaltextrun"/>
    <w:basedOn w:val="DefaultParagraphFont"/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9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9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Fa87QNd2N6YTFzdu73LgwD5N0g==">CgMxLjAaGgoBMBIVChMIBCoPCgtBQUFCV01MNG50cxACGhoKATESFQoTCAQqDwoLQUFBQldNTDRudDgQAhowCgEyEisKKQgHQiUKEVF1YXR0cm9jZW50byBTYW5zEhBBcmlhbCBVbmljb2RlIE1TGjAKATMSKwopCAdCJQoRUXVhdHRyb2NlbnRvIFNhbnMSEEFyaWFsIFVuaWNvZGUgTVM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Angela Brown</cp:lastModifiedBy>
  <cp:revision>2</cp:revision>
  <dcterms:created xsi:type="dcterms:W3CDTF">2024-10-25T21:31:00Z</dcterms:created>
  <dcterms:modified xsi:type="dcterms:W3CDTF">2024-10-25T21:31:00Z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